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7A" w:rsidRPr="00F86EE1" w:rsidRDefault="008D2163" w:rsidP="00F86EE1">
      <w:pPr>
        <w:jc w:val="center"/>
        <w:outlineLvl w:val="0"/>
        <w:rPr>
          <w:rFonts w:cs="Times New Roman"/>
          <w:b/>
          <w:sz w:val="24"/>
          <w:szCs w:val="24"/>
        </w:rPr>
      </w:pPr>
      <w:bookmarkStart w:id="0" w:name="OLE_LINK340"/>
      <w:bookmarkStart w:id="1" w:name="OLE_LINK341"/>
      <w:bookmarkStart w:id="2" w:name="OLE_LINK507"/>
      <w:bookmarkStart w:id="3" w:name="OLE_LINK508"/>
      <w:bookmarkStart w:id="4" w:name="OLE_LINK396"/>
      <w:bookmarkStart w:id="5" w:name="OLE_LINK411"/>
      <w:bookmarkStart w:id="6" w:name="OLE_LINK412"/>
      <w:r w:rsidRPr="00F86EE1">
        <w:rPr>
          <w:rFonts w:cs="Times New Roman"/>
          <w:b/>
          <w:sz w:val="24"/>
          <w:szCs w:val="24"/>
        </w:rPr>
        <w:t xml:space="preserve">Moving Products </w:t>
      </w:r>
      <w:r w:rsidR="0032241D" w:rsidRPr="00F86EE1">
        <w:rPr>
          <w:rFonts w:cs="Times New Roman"/>
          <w:b/>
          <w:sz w:val="24"/>
          <w:szCs w:val="24"/>
        </w:rPr>
        <w:t>from Suppliers to Cust</w:t>
      </w:r>
      <w:bookmarkStart w:id="7" w:name="_GoBack"/>
      <w:bookmarkEnd w:id="7"/>
      <w:r w:rsidR="0032241D" w:rsidRPr="00F86EE1">
        <w:rPr>
          <w:rFonts w:cs="Times New Roman"/>
          <w:b/>
          <w:sz w:val="24"/>
          <w:szCs w:val="24"/>
        </w:rPr>
        <w:t>omers</w:t>
      </w:r>
      <w:r w:rsidRPr="00F86EE1">
        <w:rPr>
          <w:rFonts w:cs="Times New Roman"/>
          <w:b/>
          <w:sz w:val="24"/>
          <w:szCs w:val="24"/>
        </w:rPr>
        <w:t xml:space="preserve">: </w:t>
      </w:r>
      <w:r w:rsidR="0032241D" w:rsidRPr="00F86EE1">
        <w:rPr>
          <w:rFonts w:cs="Times New Roman"/>
          <w:b/>
          <w:sz w:val="24"/>
          <w:szCs w:val="24"/>
        </w:rPr>
        <w:t>Cross-Docking</w:t>
      </w:r>
      <w:r w:rsidRPr="00F86EE1">
        <w:rPr>
          <w:rFonts w:cs="Times New Roman"/>
          <w:b/>
          <w:sz w:val="24"/>
          <w:szCs w:val="24"/>
        </w:rPr>
        <w:t xml:space="preserve"> </w:t>
      </w:r>
      <w:r w:rsidR="0032241D" w:rsidRPr="00F86EE1">
        <w:rPr>
          <w:rFonts w:cs="Times New Roman"/>
          <w:b/>
          <w:sz w:val="24"/>
          <w:szCs w:val="24"/>
        </w:rPr>
        <w:t>versus</w:t>
      </w:r>
      <w:r w:rsidRPr="00F86EE1">
        <w:rPr>
          <w:rFonts w:cs="Times New Roman"/>
          <w:b/>
          <w:sz w:val="24"/>
          <w:szCs w:val="24"/>
        </w:rPr>
        <w:t xml:space="preserve"> Direct Shipping</w:t>
      </w:r>
    </w:p>
    <w:p w:rsidR="00F86EE1" w:rsidRPr="00F86EE1" w:rsidRDefault="00E35A7A" w:rsidP="00F86EE1">
      <w:pPr>
        <w:pStyle w:val="StyleRoadefAuteur"/>
        <w:spacing w:after="0"/>
        <w:rPr>
          <w:rFonts w:asciiTheme="minorHAnsi" w:hAnsiTheme="minorHAnsi"/>
          <w:sz w:val="22"/>
        </w:rPr>
      </w:pPr>
      <w:proofErr w:type="spellStart"/>
      <w:r w:rsidRPr="00E35A7A">
        <w:rPr>
          <w:rFonts w:asciiTheme="minorHAnsi" w:hAnsiTheme="minorHAnsi"/>
          <w:sz w:val="22"/>
        </w:rPr>
        <w:t>Amalia</w:t>
      </w:r>
      <w:proofErr w:type="spellEnd"/>
      <w:r w:rsidRPr="00E35A7A">
        <w:rPr>
          <w:rFonts w:asciiTheme="minorHAnsi" w:hAnsiTheme="minorHAnsi"/>
          <w:sz w:val="22"/>
        </w:rPr>
        <w:t xml:space="preserve"> I. </w:t>
      </w:r>
      <w:proofErr w:type="spellStart"/>
      <w:r w:rsidRPr="00E35A7A">
        <w:rPr>
          <w:rFonts w:asciiTheme="minorHAnsi" w:hAnsiTheme="minorHAnsi"/>
          <w:sz w:val="22"/>
        </w:rPr>
        <w:t>Nikolopoulou</w:t>
      </w:r>
      <w:proofErr w:type="spellEnd"/>
      <w:r w:rsidRPr="00E35A7A">
        <w:rPr>
          <w:rFonts w:asciiTheme="minorHAnsi" w:hAnsiTheme="minorHAnsi"/>
          <w:sz w:val="22"/>
        </w:rPr>
        <w:t xml:space="preserve">, </w:t>
      </w:r>
      <w:r w:rsidR="00F86EE1" w:rsidRPr="00E35A7A">
        <w:rPr>
          <w:rFonts w:asciiTheme="minorHAnsi" w:hAnsiTheme="minorHAnsi"/>
          <w:sz w:val="22"/>
        </w:rPr>
        <w:t xml:space="preserve">Christos D. </w:t>
      </w:r>
      <w:proofErr w:type="spellStart"/>
      <w:r w:rsidR="00F86EE1" w:rsidRPr="00E35A7A">
        <w:rPr>
          <w:rFonts w:asciiTheme="minorHAnsi" w:hAnsiTheme="minorHAnsi"/>
          <w:sz w:val="22"/>
        </w:rPr>
        <w:t>Tarantilis</w:t>
      </w:r>
      <w:proofErr w:type="spellEnd"/>
      <w:r w:rsidR="00F86EE1">
        <w:rPr>
          <w:rFonts w:asciiTheme="minorHAnsi" w:hAnsiTheme="minorHAnsi"/>
          <w:sz w:val="22"/>
        </w:rPr>
        <w:t xml:space="preserve"> and </w:t>
      </w:r>
      <w:proofErr w:type="spellStart"/>
      <w:r w:rsidR="00F86EE1" w:rsidRPr="00E35A7A">
        <w:rPr>
          <w:rFonts w:asciiTheme="minorHAnsi" w:hAnsiTheme="minorHAnsi"/>
          <w:sz w:val="22"/>
        </w:rPr>
        <w:t>Emmanouil</w:t>
      </w:r>
      <w:proofErr w:type="spellEnd"/>
      <w:r w:rsidR="00F86EE1" w:rsidRPr="00E35A7A">
        <w:rPr>
          <w:rFonts w:asciiTheme="minorHAnsi" w:hAnsiTheme="minorHAnsi"/>
          <w:sz w:val="22"/>
        </w:rPr>
        <w:t xml:space="preserve"> E. </w:t>
      </w:r>
      <w:proofErr w:type="spellStart"/>
      <w:r w:rsidR="00F86EE1" w:rsidRPr="00E35A7A">
        <w:rPr>
          <w:rFonts w:asciiTheme="minorHAnsi" w:hAnsiTheme="minorHAnsi"/>
          <w:sz w:val="22"/>
        </w:rPr>
        <w:t>Zachariadis</w:t>
      </w:r>
      <w:proofErr w:type="spellEnd"/>
    </w:p>
    <w:p w:rsidR="00E35A7A" w:rsidRPr="00F86EE1" w:rsidRDefault="00F86EE1" w:rsidP="003E62CC">
      <w:pPr>
        <w:pStyle w:val="RoadefAdresse"/>
        <w:rPr>
          <w:rFonts w:asciiTheme="minorHAnsi" w:hAnsiTheme="minorHAnsi"/>
          <w:i/>
          <w:lang w:val="en-US"/>
        </w:rPr>
      </w:pPr>
      <w:r w:rsidRPr="00F86EE1">
        <w:rPr>
          <w:rFonts w:asciiTheme="minorHAnsi" w:hAnsiTheme="minorHAnsi"/>
          <w:i/>
          <w:lang w:val="en-US"/>
        </w:rPr>
        <w:t>Department of Management Science,</w:t>
      </w:r>
    </w:p>
    <w:p w:rsidR="003E62CC" w:rsidRPr="0042132D" w:rsidRDefault="00F86EE1" w:rsidP="0042132D">
      <w:pPr>
        <w:pStyle w:val="RoadefAdresse"/>
        <w:rPr>
          <w:rFonts w:asciiTheme="minorHAnsi" w:hAnsiTheme="minorHAnsi"/>
          <w:i/>
          <w:lang w:val="en-US"/>
        </w:rPr>
      </w:pPr>
      <w:r w:rsidRPr="00F86EE1">
        <w:rPr>
          <w:rFonts w:asciiTheme="minorHAnsi" w:hAnsiTheme="minorHAnsi"/>
          <w:i/>
          <w:lang w:val="en-US"/>
        </w:rPr>
        <w:t>Athens University of Economics and Business, Athens, Greece, and</w:t>
      </w:r>
    </w:p>
    <w:p w:rsidR="0042132D" w:rsidRDefault="0042132D" w:rsidP="0042132D">
      <w:pPr>
        <w:pStyle w:val="StyleRoadefAuteur"/>
        <w:spacing w:after="0" w:line="276" w:lineRule="auto"/>
        <w:rPr>
          <w:rFonts w:asciiTheme="minorHAnsi" w:hAnsiTheme="minorHAnsi"/>
          <w:sz w:val="22"/>
          <w:szCs w:val="22"/>
        </w:rPr>
      </w:pPr>
    </w:p>
    <w:p w:rsidR="00F86EE1" w:rsidRPr="00F86EE1" w:rsidRDefault="00F86EE1" w:rsidP="0042132D">
      <w:pPr>
        <w:pStyle w:val="StyleRoadefAuteur"/>
        <w:spacing w:after="0" w:line="276" w:lineRule="auto"/>
        <w:rPr>
          <w:rFonts w:asciiTheme="minorHAnsi" w:hAnsiTheme="minorHAnsi"/>
          <w:sz w:val="22"/>
          <w:szCs w:val="22"/>
        </w:rPr>
      </w:pPr>
      <w:proofErr w:type="spellStart"/>
      <w:r w:rsidRPr="00F86EE1">
        <w:rPr>
          <w:rFonts w:asciiTheme="minorHAnsi" w:hAnsiTheme="minorHAnsi"/>
          <w:sz w:val="22"/>
          <w:szCs w:val="22"/>
        </w:rPr>
        <w:t>Panagiotis</w:t>
      </w:r>
      <w:proofErr w:type="spellEnd"/>
      <w:r w:rsidRPr="00F86EE1">
        <w:rPr>
          <w:rFonts w:asciiTheme="minorHAnsi" w:hAnsiTheme="minorHAnsi"/>
          <w:sz w:val="22"/>
          <w:szCs w:val="22"/>
        </w:rPr>
        <w:t xml:space="preserve"> P. </w:t>
      </w:r>
      <w:proofErr w:type="spellStart"/>
      <w:r w:rsidRPr="00F86EE1">
        <w:rPr>
          <w:rFonts w:asciiTheme="minorHAnsi" w:hAnsiTheme="minorHAnsi"/>
          <w:sz w:val="22"/>
          <w:szCs w:val="22"/>
        </w:rPr>
        <w:t>Repoussis</w:t>
      </w:r>
      <w:proofErr w:type="spellEnd"/>
      <w:r w:rsidRPr="00F86EE1">
        <w:rPr>
          <w:rFonts w:asciiTheme="minorHAnsi" w:hAnsiTheme="minorHAnsi"/>
          <w:sz w:val="22"/>
          <w:szCs w:val="22"/>
        </w:rPr>
        <w:t xml:space="preserve"> </w:t>
      </w:r>
    </w:p>
    <w:p w:rsidR="00F86EE1" w:rsidRPr="00F86EE1" w:rsidRDefault="00E35A7A" w:rsidP="0042132D">
      <w:pPr>
        <w:pStyle w:val="Default"/>
        <w:spacing w:line="276" w:lineRule="auto"/>
        <w:jc w:val="center"/>
        <w:rPr>
          <w:rFonts w:asciiTheme="minorHAnsi" w:hAnsiTheme="minorHAnsi"/>
          <w:i/>
          <w:sz w:val="20"/>
          <w:szCs w:val="22"/>
        </w:rPr>
      </w:pPr>
      <w:r w:rsidRPr="00F86EE1">
        <w:rPr>
          <w:rFonts w:asciiTheme="minorHAnsi" w:hAnsiTheme="minorHAnsi"/>
          <w:i/>
          <w:sz w:val="20"/>
          <w:szCs w:val="22"/>
        </w:rPr>
        <w:t>H</w:t>
      </w:r>
      <w:r w:rsidRPr="00F86EE1">
        <w:rPr>
          <w:rFonts w:asciiTheme="minorHAnsi" w:hAnsiTheme="minorHAnsi"/>
          <w:i/>
          <w:color w:val="auto"/>
          <w:sz w:val="20"/>
          <w:szCs w:val="22"/>
        </w:rPr>
        <w:t>owe School of Technology Management</w:t>
      </w:r>
      <w:r w:rsidR="00F86EE1" w:rsidRPr="00F86EE1">
        <w:rPr>
          <w:rFonts w:asciiTheme="minorHAnsi" w:hAnsiTheme="minorHAnsi"/>
          <w:i/>
          <w:sz w:val="20"/>
          <w:szCs w:val="22"/>
        </w:rPr>
        <w:t>,</w:t>
      </w:r>
    </w:p>
    <w:p w:rsidR="00E35A7A" w:rsidRPr="00F86EE1" w:rsidRDefault="00E35A7A" w:rsidP="0042132D">
      <w:pPr>
        <w:pStyle w:val="Default"/>
        <w:spacing w:line="276" w:lineRule="auto"/>
        <w:jc w:val="center"/>
        <w:rPr>
          <w:rFonts w:asciiTheme="minorHAnsi" w:hAnsiTheme="minorHAnsi"/>
          <w:i/>
          <w:color w:val="auto"/>
          <w:sz w:val="20"/>
          <w:szCs w:val="22"/>
        </w:rPr>
      </w:pPr>
      <w:r w:rsidRPr="00F86EE1">
        <w:rPr>
          <w:rFonts w:asciiTheme="minorHAnsi" w:hAnsiTheme="minorHAnsi"/>
          <w:i/>
          <w:sz w:val="20"/>
          <w:szCs w:val="22"/>
        </w:rPr>
        <w:t xml:space="preserve"> </w:t>
      </w:r>
      <w:r w:rsidRPr="00F86EE1">
        <w:rPr>
          <w:rFonts w:asciiTheme="minorHAnsi" w:hAnsiTheme="minorHAnsi"/>
          <w:i/>
          <w:color w:val="auto"/>
          <w:sz w:val="20"/>
          <w:szCs w:val="22"/>
        </w:rPr>
        <w:t>Stevens Institute of Technology</w:t>
      </w:r>
      <w:r w:rsidR="00F86EE1" w:rsidRPr="00F86EE1">
        <w:rPr>
          <w:rFonts w:asciiTheme="minorHAnsi" w:hAnsiTheme="minorHAnsi"/>
          <w:i/>
          <w:color w:val="auto"/>
          <w:sz w:val="20"/>
          <w:szCs w:val="22"/>
        </w:rPr>
        <w:t xml:space="preserve">, </w:t>
      </w:r>
      <w:r w:rsidR="00FC4060">
        <w:rPr>
          <w:rFonts w:asciiTheme="minorHAnsi" w:hAnsiTheme="minorHAnsi"/>
          <w:i/>
          <w:color w:val="auto"/>
          <w:sz w:val="20"/>
          <w:szCs w:val="22"/>
        </w:rPr>
        <w:t xml:space="preserve">Hoboken, </w:t>
      </w:r>
      <w:r w:rsidR="00F86EE1" w:rsidRPr="00F86EE1">
        <w:rPr>
          <w:rFonts w:asciiTheme="minorHAnsi" w:hAnsiTheme="minorHAnsi"/>
          <w:i/>
          <w:color w:val="auto"/>
          <w:sz w:val="20"/>
          <w:szCs w:val="22"/>
        </w:rPr>
        <w:t>NJ, USA</w:t>
      </w:r>
    </w:p>
    <w:p w:rsidR="00E35A7A" w:rsidRPr="00672609" w:rsidRDefault="00E35A7A" w:rsidP="00D204A3">
      <w:pPr>
        <w:jc w:val="center"/>
        <w:outlineLvl w:val="0"/>
        <w:rPr>
          <w:rFonts w:cs="Times New Roman"/>
          <w:b/>
          <w:szCs w:val="24"/>
        </w:rPr>
      </w:pPr>
    </w:p>
    <w:p w:rsidR="005F113C" w:rsidRPr="00916DA1" w:rsidRDefault="008D2163" w:rsidP="005F113C">
      <w:pPr>
        <w:spacing w:after="0"/>
        <w:outlineLvl w:val="0"/>
        <w:rPr>
          <w:b/>
          <w:sz w:val="24"/>
        </w:rPr>
      </w:pPr>
      <w:r w:rsidRPr="00916DA1">
        <w:rPr>
          <w:b/>
          <w:sz w:val="24"/>
        </w:rPr>
        <w:t>Abstract</w:t>
      </w:r>
    </w:p>
    <w:p w:rsidR="005F113C" w:rsidRPr="000A4ACE" w:rsidRDefault="005F113C" w:rsidP="000A4ACE">
      <w:pPr>
        <w:spacing w:after="0"/>
        <w:jc w:val="both"/>
        <w:outlineLvl w:val="0"/>
        <w:rPr>
          <w:rFonts w:cs="Times New Roman"/>
          <w:color w:val="000000"/>
          <w:szCs w:val="24"/>
        </w:rPr>
      </w:pPr>
      <w:r w:rsidRPr="005F113C">
        <w:rPr>
          <w:b/>
        </w:rPr>
        <w:t>Purpose</w:t>
      </w:r>
      <w:r w:rsidRPr="005F113C">
        <w:rPr>
          <w:rFonts w:cs="Times New Roman"/>
          <w:b/>
          <w:szCs w:val="24"/>
        </w:rPr>
        <w:t xml:space="preserve"> – </w:t>
      </w:r>
      <w:r w:rsidR="00A52A2E">
        <w:rPr>
          <w:rFonts w:cs="Times New Roman"/>
          <w:szCs w:val="24"/>
        </w:rPr>
        <w:t>The goal of this paper is to evaluate</w:t>
      </w:r>
      <w:r w:rsidR="00A52A2E">
        <w:rPr>
          <w:rFonts w:cs="Times New Roman"/>
          <w:color w:val="000000"/>
          <w:szCs w:val="24"/>
        </w:rPr>
        <w:t xml:space="preserve"> the suitability of two distribution strategies, i.e., the </w:t>
      </w:r>
      <w:r w:rsidR="00A52A2E" w:rsidRPr="00A52A2E">
        <w:rPr>
          <w:rFonts w:cs="Times New Roman"/>
          <w:i/>
          <w:color w:val="000000"/>
          <w:szCs w:val="24"/>
        </w:rPr>
        <w:t>direct shipping</w:t>
      </w:r>
      <w:r w:rsidR="00A52A2E">
        <w:rPr>
          <w:rFonts w:cs="Times New Roman"/>
          <w:color w:val="000000"/>
          <w:szCs w:val="24"/>
        </w:rPr>
        <w:t xml:space="preserve"> and the </w:t>
      </w:r>
      <w:r w:rsidR="00A52A2E">
        <w:rPr>
          <w:rFonts w:cs="Times New Roman"/>
          <w:i/>
          <w:color w:val="000000"/>
          <w:szCs w:val="24"/>
        </w:rPr>
        <w:t>cross-do</w:t>
      </w:r>
      <w:r w:rsidR="00A52A2E" w:rsidRPr="00A52A2E">
        <w:rPr>
          <w:rFonts w:cs="Times New Roman"/>
          <w:i/>
          <w:color w:val="000000"/>
          <w:szCs w:val="24"/>
        </w:rPr>
        <w:t>cking</w:t>
      </w:r>
      <w:r w:rsidR="00A52A2E">
        <w:rPr>
          <w:rFonts w:cs="Times New Roman"/>
          <w:color w:val="000000"/>
          <w:szCs w:val="24"/>
        </w:rPr>
        <w:t xml:space="preserve">, </w:t>
      </w:r>
      <w:r w:rsidR="00A52A2E" w:rsidRPr="0096320C">
        <w:rPr>
          <w:rFonts w:cs="Times New Roman"/>
          <w:color w:val="000000"/>
          <w:szCs w:val="24"/>
        </w:rPr>
        <w:t xml:space="preserve">under various </w:t>
      </w:r>
      <w:r w:rsidR="00A52A2E">
        <w:rPr>
          <w:rFonts w:cs="Times New Roman"/>
          <w:color w:val="000000"/>
          <w:szCs w:val="24"/>
        </w:rPr>
        <w:t>network options and operational</w:t>
      </w:r>
      <w:r w:rsidR="00A52A2E" w:rsidRPr="0096320C">
        <w:rPr>
          <w:rFonts w:cs="Times New Roman"/>
          <w:color w:val="000000"/>
          <w:szCs w:val="24"/>
        </w:rPr>
        <w:t xml:space="preserve"> settings</w:t>
      </w:r>
      <w:r w:rsidR="00A52A2E">
        <w:rPr>
          <w:rFonts w:cs="Times New Roman"/>
          <w:color w:val="000000"/>
          <w:szCs w:val="24"/>
        </w:rPr>
        <w:t xml:space="preserve"> and examine how these variations are translated in terms of transportation costs. </w:t>
      </w:r>
    </w:p>
    <w:p w:rsidR="00A52A2E" w:rsidRPr="000A4ACE" w:rsidRDefault="005F113C" w:rsidP="000A4ACE">
      <w:pPr>
        <w:spacing w:after="0"/>
        <w:jc w:val="both"/>
        <w:outlineLvl w:val="0"/>
        <w:rPr>
          <w:rFonts w:cs="Times New Roman"/>
          <w:b/>
          <w:szCs w:val="24"/>
        </w:rPr>
      </w:pPr>
      <w:r w:rsidRPr="005F113C">
        <w:rPr>
          <w:b/>
        </w:rPr>
        <w:t>Design/methodology/approach –</w:t>
      </w:r>
      <w:r w:rsidR="00A52A2E" w:rsidRPr="00A52A2E">
        <w:t xml:space="preserve"> </w:t>
      </w:r>
      <w:r w:rsidR="00A52A2E">
        <w:t>An innovative</w:t>
      </w:r>
      <w:r w:rsidR="00A52A2E" w:rsidRPr="003A702A">
        <w:t xml:space="preserve"> local search </w:t>
      </w:r>
      <w:r w:rsidR="00A52A2E">
        <w:t xml:space="preserve">based optimization method </w:t>
      </w:r>
      <w:r w:rsidR="00A52A2E" w:rsidRPr="003A702A">
        <w:t>is proposed</w:t>
      </w:r>
      <w:r w:rsidR="00A52A2E">
        <w:t xml:space="preserve"> for addressing </w:t>
      </w:r>
      <w:r w:rsidR="00A52A2E" w:rsidRPr="003A702A">
        <w:t>both problem settings</w:t>
      </w:r>
      <w:r w:rsidR="00A52A2E">
        <w:t xml:space="preserve">, </w:t>
      </w:r>
      <w:r w:rsidR="00A52A2E">
        <w:rPr>
          <w:rFonts w:cs="Times New Roman"/>
          <w:szCs w:val="24"/>
        </w:rPr>
        <w:t>that employs static move descriptors to guide the search process.</w:t>
      </w:r>
      <w:r w:rsidR="00A52A2E" w:rsidRPr="00A52A2E">
        <w:rPr>
          <w:rFonts w:cs="Times New Roman"/>
          <w:szCs w:val="24"/>
        </w:rPr>
        <w:t xml:space="preserve"> </w:t>
      </w:r>
      <w:r w:rsidR="00A52A2E">
        <w:rPr>
          <w:rFonts w:cs="Times New Roman"/>
          <w:szCs w:val="24"/>
        </w:rPr>
        <w:t>The proposed method is tested on existing as well as new benchmark data sets. To that end, v</w:t>
      </w:r>
      <w:r w:rsidR="000A4ACE">
        <w:rPr>
          <w:rFonts w:cs="Times New Roman"/>
          <w:szCs w:val="24"/>
        </w:rPr>
        <w:t xml:space="preserve">arious </w:t>
      </w:r>
      <w:r w:rsidR="00A52A2E" w:rsidRPr="00831D38">
        <w:rPr>
          <w:rFonts w:cs="Times New Roman"/>
          <w:szCs w:val="24"/>
        </w:rPr>
        <w:t xml:space="preserve">computational experiments </w:t>
      </w:r>
      <w:r w:rsidR="00A52A2E">
        <w:rPr>
          <w:rFonts w:cs="Times New Roman"/>
          <w:szCs w:val="24"/>
        </w:rPr>
        <w:t>have been</w:t>
      </w:r>
      <w:r w:rsidR="00A52A2E" w:rsidRPr="00831D38">
        <w:rPr>
          <w:rFonts w:cs="Times New Roman"/>
          <w:szCs w:val="24"/>
        </w:rPr>
        <w:t xml:space="preserve"> performed</w:t>
      </w:r>
      <w:r w:rsidR="00A52A2E">
        <w:rPr>
          <w:rFonts w:cs="Times New Roman"/>
          <w:szCs w:val="24"/>
        </w:rPr>
        <w:t xml:space="preserve"> so as to</w:t>
      </w:r>
      <w:r w:rsidR="00A52A2E" w:rsidRPr="00831D38">
        <w:rPr>
          <w:rFonts w:cs="Times New Roman"/>
          <w:szCs w:val="24"/>
        </w:rPr>
        <w:t xml:space="preserve"> </w:t>
      </w:r>
      <w:r w:rsidR="00A52A2E">
        <w:rPr>
          <w:rFonts w:cs="Times New Roman"/>
          <w:szCs w:val="24"/>
        </w:rPr>
        <w:t>analyze</w:t>
      </w:r>
      <w:r w:rsidR="00A52A2E" w:rsidRPr="00831D38">
        <w:rPr>
          <w:rFonts w:cs="Times New Roman"/>
          <w:szCs w:val="24"/>
        </w:rPr>
        <w:t xml:space="preserve"> the impact of several spatial and temporal </w:t>
      </w:r>
      <w:r w:rsidR="00A52A2E">
        <w:rPr>
          <w:rFonts w:cs="Times New Roman"/>
          <w:szCs w:val="24"/>
        </w:rPr>
        <w:t>characteristics</w:t>
      </w:r>
      <w:r w:rsidR="00A52A2E" w:rsidRPr="00831D38">
        <w:rPr>
          <w:rFonts w:cs="Times New Roman"/>
          <w:szCs w:val="24"/>
        </w:rPr>
        <w:t xml:space="preserve">, such as the geographic distribution of customers and suppliers, </w:t>
      </w:r>
      <w:r w:rsidR="00A52A2E">
        <w:rPr>
          <w:rFonts w:cs="Times New Roman"/>
          <w:szCs w:val="24"/>
        </w:rPr>
        <w:t xml:space="preserve">the proximity of individual pickup and delivery pairs, </w:t>
      </w:r>
      <w:r w:rsidR="00A52A2E" w:rsidRPr="00831D38">
        <w:rPr>
          <w:rFonts w:cs="Times New Roman"/>
          <w:szCs w:val="24"/>
        </w:rPr>
        <w:t>the positioning</w:t>
      </w:r>
      <w:r w:rsidR="00A52A2E">
        <w:rPr>
          <w:rFonts w:cs="Times New Roman"/>
          <w:szCs w:val="24"/>
        </w:rPr>
        <w:t xml:space="preserve"> of the depot</w:t>
      </w:r>
      <w:r w:rsidR="00A52A2E" w:rsidRPr="00831D38">
        <w:rPr>
          <w:rFonts w:cs="Times New Roman"/>
          <w:szCs w:val="24"/>
        </w:rPr>
        <w:t xml:space="preserve">, the tightness of the capacity and duration constraints, </w:t>
      </w:r>
      <w:r w:rsidR="00A52A2E">
        <w:rPr>
          <w:rFonts w:cs="Times New Roman"/>
          <w:szCs w:val="24"/>
        </w:rPr>
        <w:t>and</w:t>
      </w:r>
      <w:r w:rsidR="00A52A2E" w:rsidRPr="00831D38">
        <w:rPr>
          <w:rFonts w:cs="Times New Roman"/>
          <w:szCs w:val="24"/>
        </w:rPr>
        <w:t xml:space="preserve"> the</w:t>
      </w:r>
      <w:r w:rsidR="00A52A2E" w:rsidRPr="004422B0">
        <w:rPr>
          <w:rFonts w:cs="Times New Roman"/>
          <w:szCs w:val="24"/>
        </w:rPr>
        <w:t xml:space="preserve"> </w:t>
      </w:r>
      <w:r w:rsidR="00A52A2E" w:rsidRPr="00831D38">
        <w:rPr>
          <w:rFonts w:cs="Times New Roman"/>
          <w:szCs w:val="24"/>
        </w:rPr>
        <w:t xml:space="preserve">time required </w:t>
      </w:r>
      <w:r w:rsidR="00A52A2E">
        <w:rPr>
          <w:rFonts w:cs="Times New Roman"/>
          <w:szCs w:val="24"/>
        </w:rPr>
        <w:t>to handle and consolidate the shipments</w:t>
      </w:r>
      <w:r w:rsidR="00A52A2E" w:rsidRPr="00831D38">
        <w:rPr>
          <w:rFonts w:cs="Times New Roman"/>
          <w:szCs w:val="24"/>
        </w:rPr>
        <w:t xml:space="preserve"> </w:t>
      </w:r>
      <w:r w:rsidR="00A52A2E">
        <w:rPr>
          <w:rFonts w:cs="Times New Roman"/>
          <w:szCs w:val="24"/>
        </w:rPr>
        <w:t>at</w:t>
      </w:r>
      <w:r w:rsidR="00A52A2E" w:rsidRPr="00831D38">
        <w:rPr>
          <w:rFonts w:cs="Times New Roman"/>
          <w:szCs w:val="24"/>
        </w:rPr>
        <w:t xml:space="preserve"> the cross dock.</w:t>
      </w:r>
      <w:r w:rsidR="00A52A2E">
        <w:rPr>
          <w:rFonts w:cs="Times New Roman"/>
          <w:szCs w:val="24"/>
        </w:rPr>
        <w:t xml:space="preserve"> </w:t>
      </w:r>
    </w:p>
    <w:p w:rsidR="000A4ACE" w:rsidRDefault="000A4ACE" w:rsidP="000A4ACE">
      <w:pPr>
        <w:pStyle w:val="RoadefTexte"/>
        <w:spacing w:after="0" w:line="276" w:lineRule="auto"/>
        <w:ind w:firstLine="0"/>
        <w:rPr>
          <w:rFonts w:asciiTheme="minorHAnsi" w:hAnsiTheme="minorHAnsi"/>
          <w:lang w:val="en-US"/>
        </w:rPr>
      </w:pPr>
      <w:r>
        <w:rPr>
          <w:rFonts w:asciiTheme="minorHAnsi" w:eastAsiaTheme="minorHAnsi" w:hAnsiTheme="minorHAnsi" w:cstheme="minorBidi"/>
          <w:b/>
          <w:lang w:val="en-US"/>
        </w:rPr>
        <w:t xml:space="preserve">Findings </w:t>
      </w:r>
      <w:r w:rsidR="005F113C" w:rsidRPr="000A4ACE">
        <w:rPr>
          <w:rFonts w:asciiTheme="minorHAnsi" w:eastAsiaTheme="minorHAnsi" w:hAnsiTheme="minorHAnsi" w:cstheme="minorBidi"/>
          <w:b/>
          <w:lang w:val="en-US"/>
        </w:rPr>
        <w:t>–</w:t>
      </w:r>
      <w:r w:rsidRPr="000A4ACE">
        <w:rPr>
          <w:rFonts w:asciiTheme="minorHAnsi" w:eastAsiaTheme="minorHAnsi" w:hAnsiTheme="minorHAnsi" w:cstheme="minorBidi"/>
          <w:lang w:val="en-US"/>
        </w:rPr>
        <w:t xml:space="preserve"> </w:t>
      </w:r>
      <w:r>
        <w:rPr>
          <w:rFonts w:asciiTheme="minorHAnsi" w:eastAsiaTheme="minorHAnsi" w:hAnsiTheme="minorHAnsi"/>
          <w:szCs w:val="24"/>
          <w:lang w:val="en-US"/>
        </w:rPr>
        <w:t>T</w:t>
      </w:r>
      <w:r w:rsidRPr="000A4ACE">
        <w:rPr>
          <w:rFonts w:asciiTheme="minorHAnsi" w:eastAsiaTheme="minorHAnsi" w:hAnsiTheme="minorHAnsi"/>
          <w:szCs w:val="24"/>
          <w:lang w:val="en-US"/>
        </w:rPr>
        <w:t>he results obtained indicated that the effectiveness of each strategy heavil</w:t>
      </w:r>
      <w:r w:rsidR="001B234B">
        <w:rPr>
          <w:rFonts w:asciiTheme="minorHAnsi" w:eastAsiaTheme="minorHAnsi" w:hAnsiTheme="minorHAnsi"/>
          <w:szCs w:val="24"/>
          <w:lang w:val="en-US"/>
        </w:rPr>
        <w:t>y depends on various parameters as well as</w:t>
      </w:r>
      <w:r w:rsidRPr="000A4ACE">
        <w:rPr>
          <w:rFonts w:asciiTheme="minorHAnsi" w:eastAsiaTheme="minorHAnsi" w:hAnsiTheme="minorHAnsi"/>
          <w:szCs w:val="24"/>
          <w:lang w:val="en-US"/>
        </w:rPr>
        <w:t xml:space="preserve"> the geographic distribution of customers</w:t>
      </w:r>
      <w:r w:rsidR="00FC4060">
        <w:rPr>
          <w:rFonts w:asciiTheme="minorHAnsi" w:eastAsiaTheme="minorHAnsi" w:hAnsiTheme="minorHAnsi"/>
          <w:szCs w:val="24"/>
          <w:lang w:val="en-US"/>
        </w:rPr>
        <w:t xml:space="preserve"> </w:t>
      </w:r>
      <w:r w:rsidR="00FC4060" w:rsidRPr="00FC4060">
        <w:rPr>
          <w:rFonts w:asciiTheme="minorHAnsi" w:eastAsiaTheme="minorHAnsi" w:hAnsiTheme="minorHAnsi"/>
          <w:szCs w:val="24"/>
          <w:lang w:val="en-US"/>
        </w:rPr>
        <w:t>and suppliers</w:t>
      </w:r>
      <w:r w:rsidRPr="000A4ACE">
        <w:rPr>
          <w:rFonts w:asciiTheme="minorHAnsi" w:eastAsiaTheme="minorHAnsi" w:hAnsiTheme="minorHAnsi"/>
          <w:szCs w:val="24"/>
          <w:lang w:val="en-US"/>
        </w:rPr>
        <w:t>, the supplier-customer pair proximity, and the node connectivity (or demand density).</w:t>
      </w:r>
      <w:r>
        <w:rPr>
          <w:rFonts w:asciiTheme="minorHAnsi" w:eastAsiaTheme="minorHAnsi" w:hAnsiTheme="minorHAnsi"/>
          <w:szCs w:val="24"/>
          <w:lang w:val="en-US"/>
        </w:rPr>
        <w:t xml:space="preserve"> </w:t>
      </w:r>
    </w:p>
    <w:p w:rsidR="001D5F91" w:rsidRPr="001D5F91" w:rsidRDefault="001D5F91" w:rsidP="001D5F91">
      <w:pPr>
        <w:spacing w:after="0" w:line="240" w:lineRule="auto"/>
        <w:rPr>
          <w:b/>
        </w:rPr>
      </w:pPr>
      <w:r w:rsidRPr="001D5F91">
        <w:rPr>
          <w:b/>
        </w:rPr>
        <w:t>Research limitations/implications (if applicable)</w:t>
      </w:r>
      <w:r w:rsidR="00A84BE8">
        <w:rPr>
          <w:b/>
        </w:rPr>
        <w:t xml:space="preserve"> - </w:t>
      </w:r>
    </w:p>
    <w:p w:rsidR="001D5F91" w:rsidRPr="001D5F91" w:rsidRDefault="001D5F91" w:rsidP="001D5F91">
      <w:pPr>
        <w:spacing w:after="0" w:line="240" w:lineRule="auto"/>
        <w:rPr>
          <w:b/>
        </w:rPr>
      </w:pPr>
      <w:r w:rsidRPr="001D5F91">
        <w:rPr>
          <w:b/>
        </w:rPr>
        <w:t>Practical implications (if applicable)</w:t>
      </w:r>
      <w:r w:rsidR="00A84BE8">
        <w:rPr>
          <w:b/>
        </w:rPr>
        <w:t xml:space="preserve"> - </w:t>
      </w:r>
    </w:p>
    <w:p w:rsidR="001D5F91" w:rsidRPr="001D5F91" w:rsidRDefault="001D5F91" w:rsidP="001D5F91">
      <w:pPr>
        <w:autoSpaceDE w:val="0"/>
        <w:autoSpaceDN w:val="0"/>
        <w:adjustRightInd w:val="0"/>
        <w:spacing w:after="0"/>
        <w:jc w:val="both"/>
        <w:rPr>
          <w:b/>
        </w:rPr>
      </w:pPr>
      <w:r w:rsidRPr="001D5F91">
        <w:rPr>
          <w:b/>
        </w:rPr>
        <w:t xml:space="preserve">Social implications (if applicable)- </w:t>
      </w:r>
    </w:p>
    <w:p w:rsidR="000A4ACE" w:rsidRDefault="005F113C" w:rsidP="000A4ACE">
      <w:pPr>
        <w:autoSpaceDE w:val="0"/>
        <w:autoSpaceDN w:val="0"/>
        <w:adjustRightInd w:val="0"/>
        <w:spacing w:after="0"/>
        <w:jc w:val="both"/>
      </w:pPr>
      <w:r w:rsidRPr="005F113C">
        <w:rPr>
          <w:b/>
        </w:rPr>
        <w:t>Originality/value –</w:t>
      </w:r>
      <w:r w:rsidR="000A4ACE" w:rsidRPr="000A4ACE">
        <w:t xml:space="preserve"> </w:t>
      </w:r>
      <w:r w:rsidR="00AD2B85">
        <w:rPr>
          <w:rFonts w:cs="Times New Roman"/>
          <w:szCs w:val="24"/>
        </w:rPr>
        <w:t xml:space="preserve">None of the existing works in the literature provides a cost benefit analysis </w:t>
      </w:r>
      <w:r w:rsidR="00AD2B85" w:rsidRPr="00AD578C">
        <w:rPr>
          <w:rFonts w:cs="Times New Roman"/>
          <w:szCs w:val="24"/>
        </w:rPr>
        <w:t xml:space="preserve">between the </w:t>
      </w:r>
      <w:r w:rsidR="00AD2B85">
        <w:rPr>
          <w:rFonts w:cs="Times New Roman"/>
          <w:szCs w:val="24"/>
        </w:rPr>
        <w:t>direct shipping and the cross-docking</w:t>
      </w:r>
      <w:r w:rsidR="00AD2B85" w:rsidRPr="00AD578C">
        <w:rPr>
          <w:rFonts w:cs="Times New Roman"/>
          <w:szCs w:val="24"/>
        </w:rPr>
        <w:t xml:space="preserve"> </w:t>
      </w:r>
      <w:r w:rsidR="00AD2B85">
        <w:rPr>
          <w:rFonts w:cs="Times New Roman"/>
          <w:szCs w:val="24"/>
        </w:rPr>
        <w:t xml:space="preserve">strategies. </w:t>
      </w:r>
      <w:r w:rsidR="000A4ACE">
        <w:t>The optimization method</w:t>
      </w:r>
      <w:r w:rsidR="00AD2B85">
        <w:t xml:space="preserve"> proposed in this work</w:t>
      </w:r>
      <w:r w:rsidR="000A4ACE">
        <w:t xml:space="preserve"> can be used as the toolset for evaluating the performance of each strategy</w:t>
      </w:r>
      <w:r w:rsidR="000A4ACE" w:rsidRPr="003A702A">
        <w:t>.</w:t>
      </w:r>
      <w:r w:rsidR="000A4ACE">
        <w:t xml:space="preserve"> </w:t>
      </w:r>
    </w:p>
    <w:p w:rsidR="000A4ACE" w:rsidRPr="00E35A7A" w:rsidRDefault="000A4ACE" w:rsidP="000A4ACE">
      <w:pPr>
        <w:pStyle w:val="Default"/>
        <w:rPr>
          <w:rFonts w:asciiTheme="minorHAnsi" w:hAnsiTheme="minorHAnsi"/>
          <w:i/>
          <w:color w:val="auto"/>
          <w:sz w:val="22"/>
          <w:szCs w:val="22"/>
        </w:rPr>
      </w:pPr>
      <w:r w:rsidRPr="00E35A7A">
        <w:rPr>
          <w:rFonts w:asciiTheme="minorHAnsi" w:hAnsiTheme="minorHAnsi"/>
          <w:b/>
          <w:color w:val="auto"/>
          <w:sz w:val="22"/>
          <w:szCs w:val="22"/>
        </w:rPr>
        <w:t>Keywords</w:t>
      </w:r>
      <w:r w:rsidRPr="00E35A7A">
        <w:rPr>
          <w:rFonts w:asciiTheme="minorHAnsi" w:hAnsiTheme="minorHAnsi"/>
        </w:rPr>
        <w:t xml:space="preserve"> </w:t>
      </w:r>
      <w:r w:rsidRPr="005F113C">
        <w:rPr>
          <w:rFonts w:asciiTheme="minorHAnsi" w:hAnsiTheme="minorHAnsi"/>
          <w:color w:val="auto"/>
          <w:sz w:val="22"/>
          <w:szCs w:val="22"/>
        </w:rPr>
        <w:t xml:space="preserve">Vehicle routing, </w:t>
      </w:r>
      <w:r>
        <w:rPr>
          <w:rFonts w:asciiTheme="minorHAnsi" w:hAnsiTheme="minorHAnsi"/>
          <w:color w:val="auto"/>
          <w:sz w:val="22"/>
          <w:szCs w:val="22"/>
        </w:rPr>
        <w:t>C</w:t>
      </w:r>
      <w:r w:rsidRPr="005F113C">
        <w:rPr>
          <w:rFonts w:asciiTheme="minorHAnsi" w:hAnsiTheme="minorHAnsi"/>
          <w:color w:val="auto"/>
          <w:sz w:val="22"/>
          <w:szCs w:val="22"/>
        </w:rPr>
        <w:t xml:space="preserve">ross-docking, </w:t>
      </w:r>
      <w:proofErr w:type="gramStart"/>
      <w:r>
        <w:rPr>
          <w:rFonts w:asciiTheme="minorHAnsi" w:hAnsiTheme="minorHAnsi"/>
          <w:color w:val="auto"/>
          <w:sz w:val="22"/>
          <w:szCs w:val="22"/>
        </w:rPr>
        <w:t>D</w:t>
      </w:r>
      <w:r w:rsidRPr="005F113C">
        <w:rPr>
          <w:rFonts w:asciiTheme="minorHAnsi" w:hAnsiTheme="minorHAnsi"/>
          <w:color w:val="auto"/>
          <w:sz w:val="22"/>
          <w:szCs w:val="22"/>
        </w:rPr>
        <w:t>irect</w:t>
      </w:r>
      <w:proofErr w:type="gramEnd"/>
      <w:r w:rsidRPr="005F113C">
        <w:rPr>
          <w:rFonts w:asciiTheme="minorHAnsi" w:hAnsiTheme="minorHAnsi"/>
          <w:color w:val="auto"/>
          <w:sz w:val="22"/>
          <w:szCs w:val="22"/>
        </w:rPr>
        <w:t xml:space="preserve"> shipping, </w:t>
      </w:r>
      <w:r>
        <w:rPr>
          <w:rFonts w:asciiTheme="minorHAnsi" w:hAnsiTheme="minorHAnsi"/>
          <w:color w:val="auto"/>
          <w:sz w:val="22"/>
          <w:szCs w:val="22"/>
        </w:rPr>
        <w:t>P</w:t>
      </w:r>
      <w:r w:rsidRPr="005F113C">
        <w:rPr>
          <w:rFonts w:asciiTheme="minorHAnsi" w:hAnsiTheme="minorHAnsi"/>
          <w:color w:val="auto"/>
          <w:sz w:val="22"/>
          <w:szCs w:val="22"/>
        </w:rPr>
        <w:t xml:space="preserve">ickup-and-delivery, </w:t>
      </w:r>
      <w:r>
        <w:rPr>
          <w:rFonts w:asciiTheme="minorHAnsi" w:hAnsiTheme="minorHAnsi"/>
          <w:color w:val="auto"/>
          <w:sz w:val="22"/>
          <w:szCs w:val="22"/>
        </w:rPr>
        <w:t>T</w:t>
      </w:r>
      <w:r w:rsidRPr="005F113C">
        <w:rPr>
          <w:rFonts w:asciiTheme="minorHAnsi" w:hAnsiTheme="minorHAnsi"/>
          <w:color w:val="auto"/>
          <w:sz w:val="22"/>
          <w:szCs w:val="22"/>
        </w:rPr>
        <w:t>abu search</w:t>
      </w:r>
    </w:p>
    <w:p w:rsidR="000A4ACE" w:rsidRDefault="000A4ACE" w:rsidP="000A4ACE">
      <w:pPr>
        <w:jc w:val="both"/>
        <w:rPr>
          <w:rFonts w:cs="Times New Roman"/>
          <w:b/>
        </w:rPr>
      </w:pPr>
      <w:r w:rsidRPr="005F113C">
        <w:rPr>
          <w:rFonts w:cs="Times New Roman"/>
          <w:b/>
        </w:rPr>
        <w:t>Paper type</w:t>
      </w:r>
      <w:r>
        <w:rPr>
          <w:rFonts w:cs="Times New Roman"/>
          <w:b/>
        </w:rPr>
        <w:t xml:space="preserve"> </w:t>
      </w:r>
      <w:r w:rsidRPr="00BD3E4B">
        <w:rPr>
          <w:rFonts w:cs="Times New Roman"/>
        </w:rPr>
        <w:t>Research paper</w:t>
      </w:r>
    </w:p>
    <w:p w:rsidR="00A52A2E" w:rsidRDefault="00BD3E4B" w:rsidP="005F113C">
      <w:pPr>
        <w:spacing w:after="0"/>
        <w:outlineLvl w:val="0"/>
        <w:rPr>
          <w:rFonts w:cs="Times New Roman"/>
          <w:szCs w:val="24"/>
        </w:rPr>
      </w:pPr>
      <w:proofErr w:type="gramStart"/>
      <w:r>
        <w:rPr>
          <w:rFonts w:cs="Times New Roman"/>
          <w:szCs w:val="24"/>
        </w:rPr>
        <w:t>xxx</w:t>
      </w:r>
      <w:proofErr w:type="gramEnd"/>
    </w:p>
    <w:p w:rsidR="00A52A2E" w:rsidRPr="005F113C" w:rsidRDefault="000A4ACE" w:rsidP="005F113C">
      <w:pPr>
        <w:spacing w:after="0"/>
        <w:outlineLvl w:val="0"/>
        <w:rPr>
          <w:rFonts w:cs="Times New Roman"/>
          <w:b/>
          <w:szCs w:val="24"/>
        </w:rPr>
      </w:pPr>
      <w:r>
        <w:rPr>
          <w:rFonts w:cs="Times New Roman"/>
          <w:color w:val="000000"/>
          <w:szCs w:val="24"/>
        </w:rPr>
        <w:t>Old ABSTRACT</w:t>
      </w:r>
    </w:p>
    <w:p w:rsidR="00887182" w:rsidRPr="005F113C" w:rsidRDefault="00887182" w:rsidP="003F2893">
      <w:pPr>
        <w:spacing w:after="0"/>
        <w:jc w:val="both"/>
        <w:outlineLvl w:val="0"/>
        <w:rPr>
          <w:rFonts w:cs="Times New Roman"/>
          <w:b/>
          <w:szCs w:val="24"/>
        </w:rPr>
      </w:pPr>
      <w:r w:rsidRPr="00831D38">
        <w:rPr>
          <w:rFonts w:cs="Times New Roman"/>
          <w:szCs w:val="24"/>
        </w:rPr>
        <w:t>This work considers the problem of satisfying transportation requests from a</w:t>
      </w:r>
      <w:r>
        <w:rPr>
          <w:rFonts w:cs="Times New Roman"/>
          <w:szCs w:val="24"/>
        </w:rPr>
        <w:t xml:space="preserve"> set of suppliers to a set of customers. </w:t>
      </w:r>
      <w:r w:rsidRPr="00831D38">
        <w:rPr>
          <w:rFonts w:cs="Times New Roman"/>
          <w:szCs w:val="24"/>
        </w:rPr>
        <w:t xml:space="preserve">Each request </w:t>
      </w:r>
      <w:r>
        <w:rPr>
          <w:rFonts w:cs="Times New Roman"/>
          <w:szCs w:val="24"/>
        </w:rPr>
        <w:t xml:space="preserve">calls for moving products between a pickup and a delivery location pair. A </w:t>
      </w:r>
      <w:r w:rsidR="000E59D5">
        <w:rPr>
          <w:rFonts w:cs="Times New Roman"/>
          <w:szCs w:val="24"/>
        </w:rPr>
        <w:t>common</w:t>
      </w:r>
      <w:r>
        <w:rPr>
          <w:rFonts w:cs="Times New Roman"/>
          <w:szCs w:val="24"/>
        </w:rPr>
        <w:t xml:space="preserve"> approach is the direct shipping and </w:t>
      </w:r>
      <w:r w:rsidRPr="00831D38">
        <w:rPr>
          <w:rFonts w:cs="Times New Roman"/>
          <w:szCs w:val="24"/>
        </w:rPr>
        <w:t xml:space="preserve">delivery of </w:t>
      </w:r>
      <w:r>
        <w:rPr>
          <w:rFonts w:cs="Times New Roman"/>
          <w:szCs w:val="24"/>
        </w:rPr>
        <w:t xml:space="preserve">the </w:t>
      </w:r>
      <w:r w:rsidRPr="00831D38">
        <w:rPr>
          <w:rFonts w:cs="Times New Roman"/>
          <w:szCs w:val="24"/>
        </w:rPr>
        <w:t>products without using any intermediate transshipment points</w:t>
      </w:r>
      <w:r>
        <w:rPr>
          <w:rFonts w:cs="Times New Roman"/>
          <w:szCs w:val="24"/>
        </w:rPr>
        <w:t xml:space="preserve"> or in-transit merge of the shipments</w:t>
      </w:r>
      <w:r w:rsidRPr="00831D38">
        <w:rPr>
          <w:rFonts w:cs="Times New Roman"/>
          <w:szCs w:val="24"/>
        </w:rPr>
        <w:t xml:space="preserve">. </w:t>
      </w:r>
      <w:r>
        <w:rPr>
          <w:rFonts w:cs="Times New Roman"/>
          <w:szCs w:val="24"/>
        </w:rPr>
        <w:t>Another</w:t>
      </w:r>
      <w:r w:rsidRPr="00831D38">
        <w:rPr>
          <w:rFonts w:cs="Times New Roman"/>
          <w:szCs w:val="24"/>
        </w:rPr>
        <w:t xml:space="preserve"> </w:t>
      </w:r>
      <w:r>
        <w:rPr>
          <w:rFonts w:cs="Times New Roman"/>
          <w:szCs w:val="24"/>
        </w:rPr>
        <w:t xml:space="preserve">alternative </w:t>
      </w:r>
      <w:r w:rsidR="000E59D5">
        <w:rPr>
          <w:rFonts w:cs="Times New Roman"/>
          <w:szCs w:val="24"/>
        </w:rPr>
        <w:t xml:space="preserve">that often appears in practice </w:t>
      </w:r>
      <w:r>
        <w:rPr>
          <w:rFonts w:cs="Times New Roman"/>
          <w:szCs w:val="24"/>
        </w:rPr>
        <w:t>is to use</w:t>
      </w:r>
      <w:r w:rsidRPr="00831D38">
        <w:rPr>
          <w:rFonts w:cs="Times New Roman"/>
          <w:szCs w:val="24"/>
        </w:rPr>
        <w:t xml:space="preserve"> an intermediate cross-dock facility </w:t>
      </w:r>
      <w:r>
        <w:rPr>
          <w:rFonts w:cs="Times New Roman"/>
          <w:szCs w:val="24"/>
        </w:rPr>
        <w:t>that will act</w:t>
      </w:r>
      <w:r w:rsidRPr="00831D38">
        <w:rPr>
          <w:rFonts w:cs="Times New Roman"/>
          <w:szCs w:val="24"/>
        </w:rPr>
        <w:t xml:space="preserve"> as a consolidation point</w:t>
      </w:r>
      <w:r>
        <w:rPr>
          <w:rFonts w:cs="Times New Roman"/>
          <w:szCs w:val="24"/>
        </w:rPr>
        <w:t xml:space="preserve"> for the shipments. </w:t>
      </w:r>
      <w:r w:rsidR="000E59D5">
        <w:rPr>
          <w:rFonts w:cs="Times New Roman"/>
          <w:szCs w:val="24"/>
        </w:rPr>
        <w:t xml:space="preserve">The goal of this paper is to evaluate these </w:t>
      </w:r>
      <w:r w:rsidR="00BB14F4">
        <w:rPr>
          <w:rFonts w:cs="Times New Roman"/>
          <w:szCs w:val="24"/>
        </w:rPr>
        <w:t xml:space="preserve">inherently different </w:t>
      </w:r>
      <w:r w:rsidR="000E59D5">
        <w:rPr>
          <w:rFonts w:cs="Times New Roman"/>
          <w:szCs w:val="24"/>
        </w:rPr>
        <w:t xml:space="preserve">distribution options and to conduct a comprehensive comparative analysis. For this purpose, a new local search </w:t>
      </w:r>
      <w:r w:rsidR="004422B0">
        <w:rPr>
          <w:rFonts w:cs="Times New Roman"/>
          <w:szCs w:val="24"/>
        </w:rPr>
        <w:t xml:space="preserve">based </w:t>
      </w:r>
      <w:r w:rsidRPr="00831D38">
        <w:rPr>
          <w:rFonts w:cs="Times New Roman"/>
          <w:szCs w:val="24"/>
        </w:rPr>
        <w:t xml:space="preserve">optimization </w:t>
      </w:r>
      <w:r w:rsidR="004422B0">
        <w:rPr>
          <w:rFonts w:cs="Times New Roman"/>
          <w:szCs w:val="24"/>
        </w:rPr>
        <w:lastRenderedPageBreak/>
        <w:t>method</w:t>
      </w:r>
      <w:r w:rsidRPr="00831D38">
        <w:rPr>
          <w:rFonts w:cs="Times New Roman"/>
          <w:szCs w:val="24"/>
        </w:rPr>
        <w:t xml:space="preserve"> has been developed </w:t>
      </w:r>
      <w:r w:rsidR="000E59D5">
        <w:rPr>
          <w:rFonts w:cs="Times New Roman"/>
          <w:szCs w:val="24"/>
        </w:rPr>
        <w:t>that employs static move descriptors to guide the search process</w:t>
      </w:r>
      <w:r>
        <w:rPr>
          <w:rFonts w:cs="Times New Roman"/>
          <w:szCs w:val="24"/>
        </w:rPr>
        <w:t xml:space="preserve">. The proposed </w:t>
      </w:r>
      <w:r w:rsidR="004422B0">
        <w:rPr>
          <w:rFonts w:cs="Times New Roman"/>
          <w:szCs w:val="24"/>
        </w:rPr>
        <w:t>method</w:t>
      </w:r>
      <w:r>
        <w:rPr>
          <w:rFonts w:cs="Times New Roman"/>
          <w:szCs w:val="24"/>
        </w:rPr>
        <w:t xml:space="preserve"> is tested on </w:t>
      </w:r>
      <w:r w:rsidR="004422B0">
        <w:rPr>
          <w:rFonts w:cs="Times New Roman"/>
          <w:szCs w:val="24"/>
        </w:rPr>
        <w:t xml:space="preserve">existing as well as new </w:t>
      </w:r>
      <w:r>
        <w:rPr>
          <w:rFonts w:cs="Times New Roman"/>
          <w:szCs w:val="24"/>
        </w:rPr>
        <w:t xml:space="preserve">benchmark </w:t>
      </w:r>
      <w:r w:rsidR="004422B0">
        <w:rPr>
          <w:rFonts w:cs="Times New Roman"/>
          <w:szCs w:val="24"/>
        </w:rPr>
        <w:t>data sets</w:t>
      </w:r>
      <w:r>
        <w:rPr>
          <w:rFonts w:cs="Times New Roman"/>
          <w:szCs w:val="24"/>
        </w:rPr>
        <w:t xml:space="preserve">. </w:t>
      </w:r>
      <w:r w:rsidR="004422B0">
        <w:rPr>
          <w:rFonts w:cs="Times New Roman"/>
          <w:szCs w:val="24"/>
        </w:rPr>
        <w:t xml:space="preserve">To that end, </w:t>
      </w:r>
      <w:r>
        <w:rPr>
          <w:rFonts w:cs="Times New Roman"/>
          <w:szCs w:val="24"/>
        </w:rPr>
        <w:t>v</w:t>
      </w:r>
      <w:r w:rsidRPr="00831D38">
        <w:rPr>
          <w:rFonts w:cs="Times New Roman"/>
          <w:szCs w:val="24"/>
        </w:rPr>
        <w:t xml:space="preserve">arious computational experiments </w:t>
      </w:r>
      <w:r w:rsidR="004422B0">
        <w:rPr>
          <w:rFonts w:cs="Times New Roman"/>
          <w:szCs w:val="24"/>
        </w:rPr>
        <w:t>have been</w:t>
      </w:r>
      <w:r w:rsidRPr="00831D38">
        <w:rPr>
          <w:rFonts w:cs="Times New Roman"/>
          <w:szCs w:val="24"/>
        </w:rPr>
        <w:t xml:space="preserve"> performed</w:t>
      </w:r>
      <w:r>
        <w:rPr>
          <w:rFonts w:cs="Times New Roman"/>
          <w:szCs w:val="24"/>
        </w:rPr>
        <w:t xml:space="preserve"> </w:t>
      </w:r>
      <w:r w:rsidR="004422B0">
        <w:rPr>
          <w:rFonts w:cs="Times New Roman"/>
          <w:szCs w:val="24"/>
        </w:rPr>
        <w:t>so as to</w:t>
      </w:r>
      <w:r w:rsidRPr="00831D38">
        <w:rPr>
          <w:rFonts w:cs="Times New Roman"/>
          <w:szCs w:val="24"/>
        </w:rPr>
        <w:t xml:space="preserve"> </w:t>
      </w:r>
      <w:r>
        <w:rPr>
          <w:rFonts w:cs="Times New Roman"/>
          <w:szCs w:val="24"/>
        </w:rPr>
        <w:t>analyze</w:t>
      </w:r>
      <w:r w:rsidRPr="00831D38">
        <w:rPr>
          <w:rFonts w:cs="Times New Roman"/>
          <w:szCs w:val="24"/>
        </w:rPr>
        <w:t xml:space="preserve"> the impact of several spatial and temporal </w:t>
      </w:r>
      <w:r>
        <w:rPr>
          <w:rFonts w:cs="Times New Roman"/>
          <w:szCs w:val="24"/>
        </w:rPr>
        <w:t>characteristics</w:t>
      </w:r>
      <w:r w:rsidRPr="00831D38">
        <w:rPr>
          <w:rFonts w:cs="Times New Roman"/>
          <w:szCs w:val="24"/>
        </w:rPr>
        <w:t xml:space="preserve">, such as the geographic distribution of customers and suppliers, </w:t>
      </w:r>
      <w:r>
        <w:rPr>
          <w:rFonts w:cs="Times New Roman"/>
          <w:szCs w:val="24"/>
        </w:rPr>
        <w:t xml:space="preserve">the proximity of individual pickup and delivery pairs, </w:t>
      </w:r>
      <w:r w:rsidRPr="00831D38">
        <w:rPr>
          <w:rFonts w:cs="Times New Roman"/>
          <w:szCs w:val="24"/>
        </w:rPr>
        <w:t>the positioning</w:t>
      </w:r>
      <w:r w:rsidR="004422B0">
        <w:rPr>
          <w:rFonts w:cs="Times New Roman"/>
          <w:szCs w:val="24"/>
        </w:rPr>
        <w:t xml:space="preserve"> of the depot</w:t>
      </w:r>
      <w:r w:rsidRPr="00831D38">
        <w:rPr>
          <w:rFonts w:cs="Times New Roman"/>
          <w:szCs w:val="24"/>
        </w:rPr>
        <w:t xml:space="preserve">, the tightness of the capacity and duration constraints, </w:t>
      </w:r>
      <w:r w:rsidR="004422B0">
        <w:rPr>
          <w:rFonts w:cs="Times New Roman"/>
          <w:szCs w:val="24"/>
        </w:rPr>
        <w:t>and</w:t>
      </w:r>
      <w:r w:rsidRPr="00831D38">
        <w:rPr>
          <w:rFonts w:cs="Times New Roman"/>
          <w:szCs w:val="24"/>
        </w:rPr>
        <w:t xml:space="preserve"> the</w:t>
      </w:r>
      <w:r w:rsidR="004422B0" w:rsidRPr="004422B0">
        <w:rPr>
          <w:rFonts w:cs="Times New Roman"/>
          <w:szCs w:val="24"/>
        </w:rPr>
        <w:t xml:space="preserve"> </w:t>
      </w:r>
      <w:r w:rsidR="004422B0" w:rsidRPr="00831D38">
        <w:rPr>
          <w:rFonts w:cs="Times New Roman"/>
          <w:szCs w:val="24"/>
        </w:rPr>
        <w:t>time</w:t>
      </w:r>
      <w:r w:rsidRPr="00831D38">
        <w:rPr>
          <w:rFonts w:cs="Times New Roman"/>
          <w:szCs w:val="24"/>
        </w:rPr>
        <w:t xml:space="preserve"> required </w:t>
      </w:r>
      <w:r w:rsidR="004422B0">
        <w:rPr>
          <w:rFonts w:cs="Times New Roman"/>
          <w:szCs w:val="24"/>
        </w:rPr>
        <w:t xml:space="preserve">to </w:t>
      </w:r>
      <w:r w:rsidR="00F934E3">
        <w:rPr>
          <w:rFonts w:cs="Times New Roman"/>
          <w:szCs w:val="24"/>
        </w:rPr>
        <w:t>handle and consolidate</w:t>
      </w:r>
      <w:r w:rsidR="004422B0">
        <w:rPr>
          <w:rFonts w:cs="Times New Roman"/>
          <w:szCs w:val="24"/>
        </w:rPr>
        <w:t xml:space="preserve"> the shipments</w:t>
      </w:r>
      <w:r w:rsidRPr="00831D38">
        <w:rPr>
          <w:rFonts w:cs="Times New Roman"/>
          <w:szCs w:val="24"/>
        </w:rPr>
        <w:t xml:space="preserve"> </w:t>
      </w:r>
      <w:r w:rsidR="004422B0">
        <w:rPr>
          <w:rFonts w:cs="Times New Roman"/>
          <w:szCs w:val="24"/>
        </w:rPr>
        <w:t>at</w:t>
      </w:r>
      <w:r w:rsidRPr="00831D38">
        <w:rPr>
          <w:rFonts w:cs="Times New Roman"/>
          <w:szCs w:val="24"/>
        </w:rPr>
        <w:t xml:space="preserve"> the cross dock.</w:t>
      </w:r>
      <w:r w:rsidR="00F934E3">
        <w:rPr>
          <w:rFonts w:cs="Times New Roman"/>
          <w:szCs w:val="24"/>
        </w:rPr>
        <w:t xml:space="preserve"> </w:t>
      </w:r>
    </w:p>
    <w:p w:rsidR="00F86EE1" w:rsidRPr="005F113C" w:rsidRDefault="00F86EE1" w:rsidP="00C32056">
      <w:pPr>
        <w:jc w:val="both"/>
        <w:rPr>
          <w:rFonts w:cs="Times New Roman"/>
          <w:b/>
        </w:rPr>
      </w:pPr>
    </w:p>
    <w:p w:rsidR="00F86EE1" w:rsidRDefault="008D2163" w:rsidP="00F86EE1">
      <w:pPr>
        <w:spacing w:after="0"/>
        <w:jc w:val="both"/>
        <w:outlineLvl w:val="0"/>
        <w:rPr>
          <w:rFonts w:cs="Times New Roman"/>
          <w:b/>
          <w:szCs w:val="24"/>
        </w:rPr>
      </w:pPr>
      <w:bookmarkStart w:id="8" w:name="OLE_LINK11"/>
      <w:bookmarkStart w:id="9" w:name="OLE_LINK12"/>
      <w:bookmarkStart w:id="10" w:name="OLE_LINK13"/>
      <w:bookmarkStart w:id="11" w:name="OLE_LINK238"/>
      <w:r w:rsidRPr="0097398B">
        <w:rPr>
          <w:rFonts w:cs="Times New Roman"/>
          <w:b/>
          <w:szCs w:val="24"/>
        </w:rPr>
        <w:t>Introduction</w:t>
      </w:r>
      <w:bookmarkStart w:id="12" w:name="OLE_LINK518"/>
      <w:bookmarkStart w:id="13" w:name="OLE_LINK487"/>
      <w:bookmarkStart w:id="14" w:name="OLE_LINK488"/>
      <w:bookmarkStart w:id="15" w:name="OLE_LINK509"/>
      <w:bookmarkStart w:id="16" w:name="OLE_LINK510"/>
      <w:bookmarkStart w:id="17" w:name="OLE_LINK485"/>
      <w:bookmarkStart w:id="18" w:name="OLE_LINK486"/>
      <w:bookmarkStart w:id="19" w:name="OLE_LINK607"/>
      <w:bookmarkStart w:id="20" w:name="OLE_LINK608"/>
      <w:bookmarkStart w:id="21" w:name="OLE_LINK609"/>
      <w:bookmarkStart w:id="22" w:name="OLE_LINK738"/>
      <w:bookmarkStart w:id="23" w:name="OLE_LINK739"/>
      <w:bookmarkEnd w:id="8"/>
      <w:bookmarkEnd w:id="9"/>
      <w:bookmarkEnd w:id="10"/>
      <w:bookmarkEnd w:id="11"/>
    </w:p>
    <w:p w:rsidR="00F86EE1" w:rsidRPr="00F86EE1" w:rsidRDefault="00AF41E6" w:rsidP="00F86EE1">
      <w:pPr>
        <w:spacing w:after="0"/>
        <w:jc w:val="both"/>
        <w:outlineLvl w:val="0"/>
        <w:rPr>
          <w:rFonts w:cs="Times New Roman"/>
          <w:szCs w:val="24"/>
        </w:rPr>
      </w:pPr>
      <w:r>
        <w:rPr>
          <w:rFonts w:cs="Times New Roman"/>
          <w:szCs w:val="24"/>
        </w:rPr>
        <w:t>Various network options</w:t>
      </w:r>
      <w:r w:rsidR="00BB14F4">
        <w:rPr>
          <w:rFonts w:cs="Times New Roman"/>
          <w:szCs w:val="24"/>
        </w:rPr>
        <w:t xml:space="preserve"> and distribution strategies</w:t>
      </w:r>
      <w:r>
        <w:rPr>
          <w:rFonts w:cs="Times New Roman"/>
          <w:szCs w:val="24"/>
        </w:rPr>
        <w:t xml:space="preserve"> </w:t>
      </w:r>
      <w:r w:rsidR="00BB14F4">
        <w:rPr>
          <w:rFonts w:cs="Times New Roman"/>
          <w:szCs w:val="24"/>
        </w:rPr>
        <w:t>can be adopted</w:t>
      </w:r>
      <w:r>
        <w:rPr>
          <w:rFonts w:cs="Times New Roman"/>
          <w:szCs w:val="24"/>
        </w:rPr>
        <w:t xml:space="preserve"> for </w:t>
      </w:r>
      <w:r w:rsidR="00A06948" w:rsidRPr="004A5E1F">
        <w:rPr>
          <w:rFonts w:cs="Times New Roman"/>
          <w:szCs w:val="24"/>
        </w:rPr>
        <w:t xml:space="preserve">moving </w:t>
      </w:r>
      <w:r>
        <w:rPr>
          <w:rFonts w:cs="Times New Roman"/>
          <w:szCs w:val="24"/>
        </w:rPr>
        <w:t>products</w:t>
      </w:r>
      <w:r w:rsidR="00750A1B" w:rsidRPr="004A5E1F">
        <w:rPr>
          <w:rFonts w:cs="Times New Roman"/>
          <w:szCs w:val="24"/>
        </w:rPr>
        <w:t xml:space="preserve"> from a set of suppliers </w:t>
      </w:r>
      <w:r w:rsidR="00E77128">
        <w:rPr>
          <w:rFonts w:cs="Times New Roman"/>
          <w:szCs w:val="24"/>
        </w:rPr>
        <w:t xml:space="preserve">(origin nodes) </w:t>
      </w:r>
      <w:r w:rsidR="00750A1B" w:rsidRPr="004A5E1F">
        <w:rPr>
          <w:rFonts w:cs="Times New Roman"/>
          <w:szCs w:val="24"/>
        </w:rPr>
        <w:t xml:space="preserve">to </w:t>
      </w:r>
      <w:r w:rsidR="0084010A" w:rsidRPr="004A5E1F">
        <w:rPr>
          <w:rFonts w:cs="Times New Roman"/>
          <w:szCs w:val="24"/>
        </w:rPr>
        <w:t xml:space="preserve">a set of </w:t>
      </w:r>
      <w:r w:rsidR="00703228" w:rsidRPr="004A5E1F">
        <w:rPr>
          <w:rFonts w:cs="Times New Roman"/>
          <w:szCs w:val="24"/>
        </w:rPr>
        <w:t>customers</w:t>
      </w:r>
      <w:bookmarkStart w:id="24" w:name="OLE_LINK489"/>
      <w:bookmarkStart w:id="25" w:name="OLE_LINK490"/>
      <w:bookmarkEnd w:id="12"/>
      <w:bookmarkEnd w:id="13"/>
      <w:bookmarkEnd w:id="14"/>
      <w:bookmarkEnd w:id="15"/>
      <w:bookmarkEnd w:id="16"/>
      <w:r w:rsidR="00E77128">
        <w:rPr>
          <w:rFonts w:cs="Times New Roman"/>
          <w:szCs w:val="24"/>
        </w:rPr>
        <w:t xml:space="preserve"> (destination nodes)</w:t>
      </w:r>
      <w:r w:rsidR="00703228" w:rsidRPr="0097398B">
        <w:rPr>
          <w:rFonts w:cs="Times New Roman"/>
          <w:szCs w:val="24"/>
        </w:rPr>
        <w:t>.</w:t>
      </w:r>
      <w:bookmarkStart w:id="26" w:name="OLE_LINK457"/>
      <w:bookmarkStart w:id="27" w:name="OLE_LINK517"/>
      <w:bookmarkStart w:id="28" w:name="OLE_LINK743"/>
      <w:bookmarkStart w:id="29" w:name="OLE_LINK744"/>
      <w:bookmarkStart w:id="30" w:name="OLE_LINK745"/>
      <w:bookmarkEnd w:id="17"/>
      <w:bookmarkEnd w:id="18"/>
      <w:bookmarkEnd w:id="19"/>
      <w:bookmarkEnd w:id="20"/>
      <w:bookmarkEnd w:id="21"/>
      <w:bookmarkEnd w:id="22"/>
      <w:bookmarkEnd w:id="23"/>
      <w:bookmarkEnd w:id="24"/>
      <w:bookmarkEnd w:id="25"/>
      <w:r w:rsidR="00415A72">
        <w:rPr>
          <w:rFonts w:cs="Times New Roman"/>
          <w:szCs w:val="24"/>
        </w:rPr>
        <w:t xml:space="preserve"> </w:t>
      </w:r>
      <w:r w:rsidR="000B6542">
        <w:rPr>
          <w:rFonts w:cs="Times New Roman"/>
          <w:szCs w:val="24"/>
        </w:rPr>
        <w:t xml:space="preserve">One very common and simple </w:t>
      </w:r>
      <w:r w:rsidR="003D1C65">
        <w:rPr>
          <w:rFonts w:cs="Times New Roman"/>
          <w:szCs w:val="24"/>
        </w:rPr>
        <w:t xml:space="preserve">practice </w:t>
      </w:r>
      <w:bookmarkStart w:id="31" w:name="OLE_LINK9"/>
      <w:bookmarkStart w:id="32" w:name="OLE_LINK10"/>
      <w:r w:rsidR="001D3C11">
        <w:rPr>
          <w:rFonts w:cs="Times New Roman"/>
          <w:szCs w:val="24"/>
        </w:rPr>
        <w:t xml:space="preserve">is to directly ship </w:t>
      </w:r>
      <w:r w:rsidR="000B6542">
        <w:rPr>
          <w:rFonts w:cs="Times New Roman"/>
          <w:szCs w:val="24"/>
        </w:rPr>
        <w:t>products</w:t>
      </w:r>
      <w:r w:rsidR="001D3C11">
        <w:rPr>
          <w:rFonts w:cs="Times New Roman"/>
          <w:szCs w:val="24"/>
        </w:rPr>
        <w:t xml:space="preserve"> </w:t>
      </w:r>
      <w:r w:rsidR="00F52B2C" w:rsidRPr="0097398B">
        <w:rPr>
          <w:rFonts w:cs="Times New Roman"/>
          <w:szCs w:val="24"/>
        </w:rPr>
        <w:t>from suppliers to customers</w:t>
      </w:r>
      <w:bookmarkEnd w:id="26"/>
      <w:bookmarkEnd w:id="27"/>
      <w:bookmarkEnd w:id="31"/>
      <w:bookmarkEnd w:id="32"/>
      <w:r w:rsidR="00F934E3">
        <w:rPr>
          <w:rFonts w:cs="Times New Roman"/>
          <w:szCs w:val="24"/>
        </w:rPr>
        <w:t xml:space="preserve"> assuming</w:t>
      </w:r>
      <w:r w:rsidR="00601112" w:rsidRPr="0097398B">
        <w:rPr>
          <w:rFonts w:cs="Times New Roman"/>
          <w:szCs w:val="24"/>
        </w:rPr>
        <w:t xml:space="preserve"> a single-echelon process. </w:t>
      </w:r>
      <w:r w:rsidR="000B6542">
        <w:rPr>
          <w:rFonts w:cs="Times New Roman"/>
          <w:szCs w:val="24"/>
        </w:rPr>
        <w:t xml:space="preserve">This </w:t>
      </w:r>
      <w:r w:rsidR="00BB14F4">
        <w:rPr>
          <w:rFonts w:cs="Times New Roman"/>
          <w:szCs w:val="24"/>
        </w:rPr>
        <w:t>strategy</w:t>
      </w:r>
      <w:r w:rsidR="000B6542">
        <w:rPr>
          <w:rFonts w:cs="Times New Roman"/>
          <w:szCs w:val="24"/>
        </w:rPr>
        <w:t xml:space="preserve"> is often referred as </w:t>
      </w:r>
      <w:r w:rsidR="000B6542" w:rsidRPr="000B6542">
        <w:rPr>
          <w:rFonts w:cs="Times New Roman"/>
          <w:i/>
          <w:szCs w:val="24"/>
        </w:rPr>
        <w:t>direct shipping</w:t>
      </w:r>
      <w:r w:rsidR="000B6542">
        <w:rPr>
          <w:rFonts w:cs="Times New Roman"/>
          <w:i/>
          <w:szCs w:val="24"/>
        </w:rPr>
        <w:t xml:space="preserve"> </w:t>
      </w:r>
      <w:r w:rsidR="000B6542">
        <w:rPr>
          <w:rFonts w:cs="Times New Roman"/>
          <w:szCs w:val="24"/>
        </w:rPr>
        <w:t xml:space="preserve">(a.k.a. </w:t>
      </w:r>
      <w:r w:rsidR="000B6542" w:rsidRPr="00BB14F4">
        <w:rPr>
          <w:rFonts w:cs="Times New Roman"/>
          <w:i/>
          <w:szCs w:val="24"/>
        </w:rPr>
        <w:t>drop shipping</w:t>
      </w:r>
      <w:r w:rsidR="000B6542">
        <w:rPr>
          <w:rFonts w:cs="Times New Roman"/>
          <w:szCs w:val="24"/>
        </w:rPr>
        <w:t xml:space="preserve">). </w:t>
      </w:r>
      <w:r w:rsidR="00601112" w:rsidRPr="0097398B">
        <w:rPr>
          <w:rFonts w:cs="Times New Roman"/>
          <w:szCs w:val="24"/>
        </w:rPr>
        <w:t xml:space="preserve">Alternatively, </w:t>
      </w:r>
      <w:r w:rsidR="00B96942" w:rsidRPr="0097398B">
        <w:rPr>
          <w:rFonts w:cs="Times New Roman"/>
          <w:szCs w:val="24"/>
        </w:rPr>
        <w:t xml:space="preserve">the distribution of </w:t>
      </w:r>
      <w:r w:rsidR="000B6542">
        <w:rPr>
          <w:rFonts w:cs="Times New Roman"/>
          <w:szCs w:val="24"/>
        </w:rPr>
        <w:t>products</w:t>
      </w:r>
      <w:r w:rsidR="00B96942" w:rsidRPr="0097398B">
        <w:rPr>
          <w:rFonts w:cs="Times New Roman"/>
          <w:szCs w:val="24"/>
        </w:rPr>
        <w:t xml:space="preserve"> can </w:t>
      </w:r>
      <w:r w:rsidR="008338C8" w:rsidRPr="0097398B">
        <w:rPr>
          <w:rFonts w:cs="Times New Roman"/>
          <w:szCs w:val="24"/>
        </w:rPr>
        <w:t>take place</w:t>
      </w:r>
      <w:r w:rsidR="00415A72">
        <w:rPr>
          <w:rFonts w:cs="Times New Roman"/>
          <w:szCs w:val="24"/>
        </w:rPr>
        <w:t xml:space="preserve"> </w:t>
      </w:r>
      <w:r w:rsidR="00417D88">
        <w:rPr>
          <w:rFonts w:cs="Times New Roman"/>
          <w:szCs w:val="24"/>
        </w:rPr>
        <w:t xml:space="preserve">in multiple echelons, </w:t>
      </w:r>
      <w:r w:rsidR="00B96942" w:rsidRPr="0097398B">
        <w:rPr>
          <w:rFonts w:cs="Times New Roman"/>
          <w:szCs w:val="24"/>
        </w:rPr>
        <w:t xml:space="preserve">via intermediate facilities </w:t>
      </w:r>
      <w:r w:rsidR="00F934E3">
        <w:rPr>
          <w:rFonts w:cs="Times New Roman"/>
          <w:szCs w:val="24"/>
        </w:rPr>
        <w:t>that</w:t>
      </w:r>
      <w:r w:rsidR="00B769DB" w:rsidRPr="0097398B">
        <w:rPr>
          <w:rFonts w:cs="Times New Roman"/>
          <w:szCs w:val="24"/>
        </w:rPr>
        <w:t xml:space="preserve"> act as </w:t>
      </w:r>
      <w:r w:rsidR="000B6542">
        <w:rPr>
          <w:rFonts w:cs="Times New Roman"/>
          <w:szCs w:val="24"/>
        </w:rPr>
        <w:t xml:space="preserve">in-transit merging </w:t>
      </w:r>
      <w:r w:rsidR="00B769DB" w:rsidRPr="0097398B">
        <w:rPr>
          <w:rFonts w:cs="Times New Roman"/>
          <w:szCs w:val="24"/>
        </w:rPr>
        <w:t>points</w:t>
      </w:r>
      <w:r w:rsidR="00F934E3">
        <w:rPr>
          <w:rFonts w:cs="Times New Roman"/>
          <w:szCs w:val="24"/>
        </w:rPr>
        <w:t xml:space="preserve"> for the</w:t>
      </w:r>
      <w:r w:rsidR="00B96942" w:rsidRPr="0097398B">
        <w:rPr>
          <w:rFonts w:cs="Times New Roman"/>
          <w:szCs w:val="24"/>
        </w:rPr>
        <w:t xml:space="preserve"> </w:t>
      </w:r>
      <w:r w:rsidR="00E73D9D">
        <w:rPr>
          <w:rFonts w:cs="Times New Roman"/>
          <w:szCs w:val="24"/>
        </w:rPr>
        <w:t xml:space="preserve">consolidation of </w:t>
      </w:r>
      <w:r w:rsidR="000B6542">
        <w:rPr>
          <w:rFonts w:cs="Times New Roman"/>
          <w:szCs w:val="24"/>
        </w:rPr>
        <w:t xml:space="preserve">the </w:t>
      </w:r>
      <w:r w:rsidR="00B96942" w:rsidRPr="0097398B">
        <w:rPr>
          <w:rFonts w:cs="Times New Roman"/>
          <w:szCs w:val="24"/>
        </w:rPr>
        <w:t xml:space="preserve">shipments from </w:t>
      </w:r>
      <w:bookmarkStart w:id="33" w:name="OLE_LINK199"/>
      <w:bookmarkStart w:id="34" w:name="OLE_LINK200"/>
      <w:r w:rsidR="000B6542">
        <w:rPr>
          <w:rFonts w:cs="Times New Roman"/>
          <w:szCs w:val="24"/>
        </w:rPr>
        <w:t>the various suppliers</w:t>
      </w:r>
      <w:r w:rsidR="0005136F" w:rsidRPr="0097398B">
        <w:rPr>
          <w:rFonts w:cs="Times New Roman"/>
          <w:szCs w:val="24"/>
        </w:rPr>
        <w:t xml:space="preserve">. </w:t>
      </w:r>
      <w:bookmarkEnd w:id="28"/>
      <w:bookmarkEnd w:id="29"/>
      <w:bookmarkEnd w:id="30"/>
      <w:r w:rsidR="000B6542">
        <w:rPr>
          <w:rFonts w:cs="Times New Roman"/>
          <w:szCs w:val="24"/>
        </w:rPr>
        <w:t xml:space="preserve">This </w:t>
      </w:r>
      <w:r w:rsidR="00BB14F4">
        <w:rPr>
          <w:rFonts w:cs="Times New Roman"/>
          <w:szCs w:val="24"/>
        </w:rPr>
        <w:t>network option and strategy is often referred</w:t>
      </w:r>
      <w:r w:rsidR="000B6542">
        <w:rPr>
          <w:rFonts w:cs="Times New Roman"/>
          <w:szCs w:val="24"/>
        </w:rPr>
        <w:t xml:space="preserve"> as </w:t>
      </w:r>
      <w:r w:rsidR="000B6542">
        <w:rPr>
          <w:rFonts w:cs="Times New Roman"/>
          <w:i/>
          <w:szCs w:val="24"/>
        </w:rPr>
        <w:t>cross-docking</w:t>
      </w:r>
      <w:r w:rsidR="00F86EE1">
        <w:rPr>
          <w:rFonts w:cs="Times New Roman"/>
          <w:szCs w:val="24"/>
        </w:rPr>
        <w:t xml:space="preserve">. </w:t>
      </w:r>
      <w:r w:rsidR="000B6542">
        <w:rPr>
          <w:rFonts w:cs="Times New Roman"/>
          <w:szCs w:val="24"/>
        </w:rPr>
        <w:t xml:space="preserve">This paper seeks to evaluate these distribution </w:t>
      </w:r>
      <w:r w:rsidR="00BB14F4">
        <w:rPr>
          <w:rFonts w:cs="Times New Roman"/>
          <w:szCs w:val="24"/>
        </w:rPr>
        <w:t xml:space="preserve">network </w:t>
      </w:r>
      <w:r w:rsidR="000B6542">
        <w:rPr>
          <w:rFonts w:cs="Times New Roman"/>
          <w:szCs w:val="24"/>
        </w:rPr>
        <w:t>options and to</w:t>
      </w:r>
      <w:r w:rsidR="000B6542" w:rsidRPr="00831D38">
        <w:rPr>
          <w:rFonts w:cs="Times New Roman"/>
          <w:szCs w:val="24"/>
        </w:rPr>
        <w:t xml:space="preserve"> </w:t>
      </w:r>
      <w:r w:rsidR="000B6542">
        <w:rPr>
          <w:rFonts w:cs="Times New Roman"/>
          <w:szCs w:val="24"/>
        </w:rPr>
        <w:t>analyze</w:t>
      </w:r>
      <w:r w:rsidR="000B6542" w:rsidRPr="00831D38">
        <w:rPr>
          <w:rFonts w:cs="Times New Roman"/>
          <w:szCs w:val="24"/>
        </w:rPr>
        <w:t xml:space="preserve"> </w:t>
      </w:r>
      <w:r w:rsidR="009D4D72">
        <w:rPr>
          <w:rFonts w:cs="Times New Roman"/>
          <w:szCs w:val="24"/>
        </w:rPr>
        <w:t xml:space="preserve">how spatial and temporal elements </w:t>
      </w:r>
      <w:r w:rsidR="00BB14F4">
        <w:rPr>
          <w:rFonts w:cs="Times New Roman"/>
          <w:szCs w:val="24"/>
        </w:rPr>
        <w:t>of</w:t>
      </w:r>
      <w:r w:rsidR="009D4D72">
        <w:rPr>
          <w:rFonts w:cs="Times New Roman"/>
          <w:szCs w:val="24"/>
        </w:rPr>
        <w:t xml:space="preserve"> the underlying network, such as </w:t>
      </w:r>
      <w:r w:rsidR="009D4D72" w:rsidRPr="00831D38">
        <w:rPr>
          <w:rFonts w:cs="Times New Roman"/>
          <w:szCs w:val="24"/>
        </w:rPr>
        <w:t xml:space="preserve">the </w:t>
      </w:r>
      <w:r w:rsidR="009D4D72">
        <w:rPr>
          <w:rFonts w:cs="Times New Roman"/>
          <w:szCs w:val="24"/>
        </w:rPr>
        <w:t>node connectivity, the geographical dispersion, and the depot centrality, affects their suitability</w:t>
      </w:r>
      <w:r w:rsidR="000B6542">
        <w:rPr>
          <w:rFonts w:cs="Times New Roman"/>
          <w:szCs w:val="24"/>
        </w:rPr>
        <w:t>.</w:t>
      </w:r>
    </w:p>
    <w:p w:rsidR="00B00CA7" w:rsidRPr="00F86EE1" w:rsidRDefault="00E77128" w:rsidP="00F86EE1">
      <w:pPr>
        <w:spacing w:after="0"/>
        <w:ind w:firstLine="720"/>
        <w:jc w:val="both"/>
        <w:outlineLvl w:val="0"/>
        <w:rPr>
          <w:rFonts w:cs="Times New Roman"/>
          <w:b/>
          <w:szCs w:val="24"/>
        </w:rPr>
      </w:pPr>
      <w:r>
        <w:rPr>
          <w:szCs w:val="24"/>
        </w:rPr>
        <w:t xml:space="preserve">Regarding the direct shipping </w:t>
      </w:r>
      <w:r w:rsidR="001D2289" w:rsidRPr="0097398B">
        <w:rPr>
          <w:szCs w:val="24"/>
        </w:rPr>
        <w:t xml:space="preserve">strategy, </w:t>
      </w:r>
      <w:bookmarkStart w:id="35" w:name="OLE_LINK616"/>
      <w:bookmarkStart w:id="36" w:name="OLE_LINK617"/>
      <w:bookmarkStart w:id="37" w:name="OLE_LINK618"/>
      <w:r w:rsidRPr="00E77128">
        <w:rPr>
          <w:rFonts w:cs="Times New Roman"/>
          <w:szCs w:val="24"/>
        </w:rPr>
        <w:t>the products are picked up from the supplier locations and are directly delivered to the customer locations</w:t>
      </w:r>
      <w:r>
        <w:rPr>
          <w:rFonts w:cs="Times New Roman"/>
          <w:szCs w:val="24"/>
        </w:rPr>
        <w:t xml:space="preserve">. </w:t>
      </w:r>
      <w:bookmarkEnd w:id="35"/>
      <w:bookmarkEnd w:id="36"/>
      <w:bookmarkEnd w:id="37"/>
      <w:r w:rsidR="00A97CA3">
        <w:rPr>
          <w:rFonts w:cs="Times New Roman"/>
          <w:szCs w:val="24"/>
        </w:rPr>
        <w:t xml:space="preserve">This is a typical one-to-one scheme where </w:t>
      </w:r>
      <w:r>
        <w:rPr>
          <w:rFonts w:cs="Times New Roman"/>
          <w:szCs w:val="24"/>
        </w:rPr>
        <w:t>each vehicle route performs one or multiple p</w:t>
      </w:r>
      <w:r w:rsidR="00A97CA3">
        <w:rPr>
          <w:rFonts w:cs="Times New Roman"/>
          <w:szCs w:val="24"/>
        </w:rPr>
        <w:t>ickups and deliveries</w:t>
      </w:r>
      <w:r w:rsidR="001B17F9" w:rsidRPr="0097398B">
        <w:rPr>
          <w:szCs w:val="24"/>
        </w:rPr>
        <w:t xml:space="preserve">. </w:t>
      </w:r>
      <w:r w:rsidR="00A97CA3">
        <w:rPr>
          <w:szCs w:val="24"/>
        </w:rPr>
        <w:t>Besides the ordering (</w:t>
      </w:r>
      <w:r w:rsidR="001B17F9" w:rsidRPr="0097398B">
        <w:rPr>
          <w:szCs w:val="24"/>
        </w:rPr>
        <w:t>precedence</w:t>
      </w:r>
      <w:r w:rsidR="00A97CA3">
        <w:rPr>
          <w:szCs w:val="24"/>
        </w:rPr>
        <w:t>)</w:t>
      </w:r>
      <w:r w:rsidR="001B17F9" w:rsidRPr="0097398B">
        <w:rPr>
          <w:szCs w:val="24"/>
        </w:rPr>
        <w:t xml:space="preserve"> </w:t>
      </w:r>
      <w:r w:rsidR="00A97CA3">
        <w:rPr>
          <w:szCs w:val="24"/>
        </w:rPr>
        <w:t>restrictions</w:t>
      </w:r>
      <w:r w:rsidR="001B17F9" w:rsidRPr="0097398B">
        <w:rPr>
          <w:szCs w:val="24"/>
        </w:rPr>
        <w:t>, routes must also satisfy coupling constraints</w:t>
      </w:r>
      <w:r w:rsidR="00A97CA3">
        <w:rPr>
          <w:szCs w:val="24"/>
        </w:rPr>
        <w:t>,</w:t>
      </w:r>
      <w:r w:rsidR="001B17F9" w:rsidRPr="0097398B">
        <w:rPr>
          <w:szCs w:val="24"/>
        </w:rPr>
        <w:t xml:space="preserve"> since </w:t>
      </w:r>
      <w:r w:rsidR="00B616A0" w:rsidRPr="0097398B">
        <w:rPr>
          <w:szCs w:val="24"/>
        </w:rPr>
        <w:t xml:space="preserve">the supplier(s) and the corresponding customer(s) </w:t>
      </w:r>
      <w:r w:rsidR="001B17F9" w:rsidRPr="0097398B">
        <w:rPr>
          <w:szCs w:val="24"/>
        </w:rPr>
        <w:t>have to be</w:t>
      </w:r>
      <w:r w:rsidR="00B616A0" w:rsidRPr="0097398B">
        <w:rPr>
          <w:szCs w:val="24"/>
        </w:rPr>
        <w:t xml:space="preserve"> assig</w:t>
      </w:r>
      <w:r w:rsidR="001B17F9" w:rsidRPr="0097398B">
        <w:rPr>
          <w:szCs w:val="24"/>
        </w:rPr>
        <w:t xml:space="preserve">ned to the same vehicle route. </w:t>
      </w:r>
      <w:r w:rsidR="00B616A0" w:rsidRPr="0097398B">
        <w:rPr>
          <w:szCs w:val="24"/>
        </w:rPr>
        <w:t>This problem setting corresponds to the well-known Pickup-</w:t>
      </w:r>
      <w:r w:rsidR="00FD51EE" w:rsidRPr="0097398B">
        <w:rPr>
          <w:szCs w:val="24"/>
        </w:rPr>
        <w:t>and-Delivery Problem (PDP)</w:t>
      </w:r>
      <w:r w:rsidR="00415A72">
        <w:rPr>
          <w:szCs w:val="24"/>
        </w:rPr>
        <w:t xml:space="preserve"> </w:t>
      </w:r>
      <w:r w:rsidR="008E0B3C" w:rsidRPr="00BE5436">
        <w:rPr>
          <w:szCs w:val="24"/>
        </w:rPr>
        <w:t>(</w:t>
      </w:r>
      <w:r w:rsidR="0060069D">
        <w:t>Dumas</w:t>
      </w:r>
      <w:r w:rsidR="0060069D" w:rsidRPr="00E23D30">
        <w:rPr>
          <w:rFonts w:cs="Times New Roman"/>
          <w:color w:val="000000"/>
          <w:szCs w:val="24"/>
        </w:rPr>
        <w:t xml:space="preserve"> </w:t>
      </w:r>
      <w:r w:rsidR="006246B3" w:rsidRPr="00E23D30">
        <w:rPr>
          <w:rFonts w:cs="Times New Roman"/>
          <w:color w:val="000000"/>
          <w:szCs w:val="24"/>
        </w:rPr>
        <w:t>et al</w:t>
      </w:r>
      <w:r w:rsidR="006246B3">
        <w:rPr>
          <w:rFonts w:cs="Times New Roman"/>
          <w:color w:val="000000"/>
          <w:szCs w:val="24"/>
        </w:rPr>
        <w:t>., 199</w:t>
      </w:r>
      <w:r w:rsidR="0060069D">
        <w:rPr>
          <w:rFonts w:cs="Times New Roman"/>
          <w:color w:val="000000"/>
          <w:szCs w:val="24"/>
        </w:rPr>
        <w:t>1</w:t>
      </w:r>
      <w:r w:rsidR="006246B3" w:rsidRPr="00E23D30">
        <w:rPr>
          <w:rFonts w:cs="Times New Roman"/>
          <w:color w:val="000000"/>
          <w:szCs w:val="24"/>
        </w:rPr>
        <w:t xml:space="preserve">, </w:t>
      </w:r>
      <w:proofErr w:type="spellStart"/>
      <w:r w:rsidR="006246B3" w:rsidRPr="00E23D30">
        <w:rPr>
          <w:rFonts w:cs="Times New Roman"/>
          <w:color w:val="000000"/>
          <w:szCs w:val="24"/>
        </w:rPr>
        <w:t>Savelsbergh</w:t>
      </w:r>
      <w:proofErr w:type="spellEnd"/>
      <w:r w:rsidR="006246B3" w:rsidRPr="00E23D30">
        <w:rPr>
          <w:rFonts w:cs="Times New Roman"/>
          <w:color w:val="000000"/>
          <w:szCs w:val="24"/>
        </w:rPr>
        <w:t xml:space="preserve"> and Sol</w:t>
      </w:r>
      <w:r w:rsidR="006246B3">
        <w:rPr>
          <w:rFonts w:cs="Times New Roman"/>
          <w:color w:val="000000"/>
          <w:szCs w:val="24"/>
        </w:rPr>
        <w:t>, 1995</w:t>
      </w:r>
      <w:r w:rsidR="008E0B3C" w:rsidRPr="00BE5436">
        <w:rPr>
          <w:rFonts w:eastAsia="Calibri" w:cs="Times New Roman"/>
          <w:lang w:val="fr-FR"/>
        </w:rPr>
        <w:t>).</w:t>
      </w:r>
    </w:p>
    <w:p w:rsidR="0052673B" w:rsidRDefault="00A97CA3" w:rsidP="00F86EE1">
      <w:pPr>
        <w:autoSpaceDE w:val="0"/>
        <w:autoSpaceDN w:val="0"/>
        <w:adjustRightInd w:val="0"/>
        <w:spacing w:after="0"/>
        <w:ind w:firstLine="720"/>
        <w:jc w:val="both"/>
        <w:rPr>
          <w:szCs w:val="24"/>
        </w:rPr>
      </w:pPr>
      <w:bookmarkStart w:id="38" w:name="OLE_LINK352"/>
      <w:bookmarkStart w:id="39" w:name="OLE_LINK353"/>
      <w:r>
        <w:rPr>
          <w:szCs w:val="24"/>
        </w:rPr>
        <w:t xml:space="preserve">On the other hand, the cross-docking </w:t>
      </w:r>
      <w:r w:rsidR="001D2289" w:rsidRPr="00453A8C">
        <w:rPr>
          <w:szCs w:val="24"/>
        </w:rPr>
        <w:t>strategy</w:t>
      </w:r>
      <w:r w:rsidR="003722AA" w:rsidRPr="00453A8C">
        <w:rPr>
          <w:szCs w:val="24"/>
        </w:rPr>
        <w:t xml:space="preserve"> involves the </w:t>
      </w:r>
      <w:r w:rsidR="001D2289" w:rsidRPr="00453A8C">
        <w:rPr>
          <w:szCs w:val="24"/>
        </w:rPr>
        <w:t xml:space="preserve">shipping of </w:t>
      </w:r>
      <w:r w:rsidR="000B6542">
        <w:rPr>
          <w:szCs w:val="24"/>
        </w:rPr>
        <w:t>products</w:t>
      </w:r>
      <w:r w:rsidR="001D2289" w:rsidRPr="00453A8C">
        <w:rPr>
          <w:szCs w:val="24"/>
        </w:rPr>
        <w:t xml:space="preserve"> </w:t>
      </w:r>
      <w:bookmarkStart w:id="40" w:name="OLE_LINK619"/>
      <w:bookmarkStart w:id="41" w:name="OLE_LINK620"/>
      <w:r w:rsidR="001D2289" w:rsidRPr="00453A8C">
        <w:rPr>
          <w:szCs w:val="24"/>
        </w:rPr>
        <w:t>downstre</w:t>
      </w:r>
      <w:r w:rsidR="003722AA" w:rsidRPr="00453A8C">
        <w:rPr>
          <w:szCs w:val="24"/>
        </w:rPr>
        <w:t xml:space="preserve">am from origins to destinations </w:t>
      </w:r>
      <w:r w:rsidR="001D2289" w:rsidRPr="00453A8C">
        <w:rPr>
          <w:szCs w:val="24"/>
        </w:rPr>
        <w:t>via a</w:t>
      </w:r>
      <w:r w:rsidR="00493C63" w:rsidRPr="00453A8C">
        <w:rPr>
          <w:szCs w:val="24"/>
        </w:rPr>
        <w:t xml:space="preserve"> single or multiple</w:t>
      </w:r>
      <w:r w:rsidR="0096571B" w:rsidRPr="00453A8C">
        <w:rPr>
          <w:szCs w:val="24"/>
        </w:rPr>
        <w:t xml:space="preserve"> intermediate</w:t>
      </w:r>
      <w:bookmarkStart w:id="42" w:name="OLE_LINK209"/>
      <w:bookmarkStart w:id="43" w:name="OLE_LINK210"/>
      <w:r w:rsidR="00B01ABF" w:rsidRPr="00453A8C">
        <w:rPr>
          <w:szCs w:val="24"/>
        </w:rPr>
        <w:t xml:space="preserve"> transshipment </w:t>
      </w:r>
      <w:bookmarkEnd w:id="38"/>
      <w:bookmarkEnd w:id="39"/>
      <w:r w:rsidR="00B01ABF" w:rsidRPr="00453A8C">
        <w:rPr>
          <w:szCs w:val="24"/>
        </w:rPr>
        <w:t>f</w:t>
      </w:r>
      <w:r w:rsidR="001D2289" w:rsidRPr="00453A8C">
        <w:rPr>
          <w:szCs w:val="24"/>
        </w:rPr>
        <w:t>acilit</w:t>
      </w:r>
      <w:bookmarkEnd w:id="42"/>
      <w:bookmarkEnd w:id="43"/>
      <w:r w:rsidR="00493C63" w:rsidRPr="00453A8C">
        <w:rPr>
          <w:szCs w:val="24"/>
        </w:rPr>
        <w:t>ies</w:t>
      </w:r>
      <w:bookmarkEnd w:id="40"/>
      <w:bookmarkEnd w:id="41"/>
      <w:r>
        <w:rPr>
          <w:szCs w:val="24"/>
        </w:rPr>
        <w:t xml:space="preserve"> (or cross-docks)</w:t>
      </w:r>
      <w:r w:rsidR="00A85AC2" w:rsidRPr="00453A8C">
        <w:rPr>
          <w:szCs w:val="24"/>
        </w:rPr>
        <w:t xml:space="preserve">. </w:t>
      </w:r>
      <w:r w:rsidR="00B01ABF" w:rsidRPr="00453A8C">
        <w:rPr>
          <w:rFonts w:cs="Times New Roman"/>
          <w:szCs w:val="24"/>
        </w:rPr>
        <w:t>The main motivation for</w:t>
      </w:r>
      <w:r w:rsidR="00493C63" w:rsidRPr="00453A8C">
        <w:rPr>
          <w:rFonts w:cs="Times New Roman"/>
          <w:szCs w:val="24"/>
        </w:rPr>
        <w:t xml:space="preserve"> applying </w:t>
      </w:r>
      <w:r w:rsidR="00C65D2F">
        <w:rPr>
          <w:rFonts w:cs="Times New Roman"/>
          <w:szCs w:val="24"/>
        </w:rPr>
        <w:t>this s</w:t>
      </w:r>
      <w:r w:rsidR="00493C63" w:rsidRPr="00453A8C">
        <w:rPr>
          <w:rFonts w:cs="Times New Roman"/>
          <w:szCs w:val="24"/>
        </w:rPr>
        <w:t>trategy</w:t>
      </w:r>
      <w:r w:rsidR="00B01ABF" w:rsidRPr="00453A8C">
        <w:rPr>
          <w:rFonts w:cs="Times New Roman"/>
          <w:szCs w:val="24"/>
        </w:rPr>
        <w:t xml:space="preserve"> is to achieve cost savings through flow consolidation at </w:t>
      </w:r>
      <w:r w:rsidR="005238E1" w:rsidRPr="00453A8C">
        <w:rPr>
          <w:rFonts w:cs="Times New Roman"/>
          <w:szCs w:val="24"/>
        </w:rPr>
        <w:t xml:space="preserve">the </w:t>
      </w:r>
      <w:r>
        <w:rPr>
          <w:rFonts w:cs="Times New Roman"/>
          <w:szCs w:val="24"/>
        </w:rPr>
        <w:t>cross-dock</w:t>
      </w:r>
      <w:r w:rsidR="00B01ABF" w:rsidRPr="00453A8C">
        <w:rPr>
          <w:rFonts w:cs="Times New Roman"/>
          <w:szCs w:val="24"/>
        </w:rPr>
        <w:t xml:space="preserve">. </w:t>
      </w:r>
      <w:bookmarkStart w:id="44" w:name="OLE_LINK514"/>
      <w:bookmarkStart w:id="45" w:name="OLE_LINK515"/>
      <w:r>
        <w:rPr>
          <w:rFonts w:cs="Times New Roman"/>
          <w:szCs w:val="24"/>
        </w:rPr>
        <w:t>This problem setting corresponds to</w:t>
      </w:r>
      <w:bookmarkStart w:id="46" w:name="OLE_LINK621"/>
      <w:bookmarkStart w:id="47" w:name="OLE_LINK622"/>
      <w:bookmarkStart w:id="48" w:name="OLE_LINK623"/>
      <w:bookmarkStart w:id="49" w:name="OLE_LINK516"/>
      <w:bookmarkStart w:id="50" w:name="OLE_LINK522"/>
      <w:bookmarkEnd w:id="44"/>
      <w:bookmarkEnd w:id="45"/>
      <w:r w:rsidR="00780247" w:rsidRPr="00453A8C">
        <w:rPr>
          <w:szCs w:val="24"/>
        </w:rPr>
        <w:t xml:space="preserve"> the </w:t>
      </w:r>
      <w:r>
        <w:rPr>
          <w:szCs w:val="24"/>
        </w:rPr>
        <w:t xml:space="preserve">so-called </w:t>
      </w:r>
      <w:r w:rsidR="00780247" w:rsidRPr="00453A8C">
        <w:rPr>
          <w:szCs w:val="24"/>
        </w:rPr>
        <w:t xml:space="preserve">Vehicle Routing Problem with Cross-Docking (VRPCD) </w:t>
      </w:r>
      <w:bookmarkEnd w:id="46"/>
      <w:bookmarkEnd w:id="47"/>
      <w:bookmarkEnd w:id="48"/>
      <w:bookmarkEnd w:id="49"/>
      <w:bookmarkEnd w:id="50"/>
      <w:r w:rsidR="00904771">
        <w:rPr>
          <w:szCs w:val="24"/>
        </w:rPr>
        <w:t>(</w:t>
      </w:r>
      <w:proofErr w:type="spellStart"/>
      <w:r w:rsidR="00904771">
        <w:rPr>
          <w:szCs w:val="24"/>
        </w:rPr>
        <w:t>Wen</w:t>
      </w:r>
      <w:proofErr w:type="spellEnd"/>
      <w:r w:rsidR="00904771">
        <w:rPr>
          <w:szCs w:val="24"/>
        </w:rPr>
        <w:t xml:space="preserve"> et al., 2009, </w:t>
      </w:r>
      <w:proofErr w:type="spellStart"/>
      <w:r w:rsidR="00780247" w:rsidRPr="00453A8C">
        <w:rPr>
          <w:szCs w:val="24"/>
        </w:rPr>
        <w:t>Tarantilis</w:t>
      </w:r>
      <w:proofErr w:type="spellEnd"/>
      <w:r w:rsidR="00904771">
        <w:rPr>
          <w:szCs w:val="24"/>
        </w:rPr>
        <w:t>, 2013)</w:t>
      </w:r>
      <w:r w:rsidR="00780247" w:rsidRPr="00453A8C">
        <w:rPr>
          <w:szCs w:val="24"/>
        </w:rPr>
        <w:t xml:space="preserve">. </w:t>
      </w:r>
      <w:r>
        <w:rPr>
          <w:szCs w:val="24"/>
        </w:rPr>
        <w:t>Note that i</w:t>
      </w:r>
      <w:r w:rsidR="008046BA" w:rsidRPr="00453A8C">
        <w:rPr>
          <w:szCs w:val="24"/>
        </w:rPr>
        <w:t>n the VRPCD</w:t>
      </w:r>
      <w:r w:rsidR="00B566C9" w:rsidRPr="00453A8C">
        <w:rPr>
          <w:szCs w:val="24"/>
        </w:rPr>
        <w:t xml:space="preserve"> </w:t>
      </w:r>
      <w:r>
        <w:rPr>
          <w:szCs w:val="24"/>
        </w:rPr>
        <w:t xml:space="preserve">with a single cross-dock, </w:t>
      </w:r>
      <w:r w:rsidR="00B566C9" w:rsidRPr="00453A8C">
        <w:rPr>
          <w:szCs w:val="24"/>
        </w:rPr>
        <w:t>the</w:t>
      </w:r>
      <w:r w:rsidR="00EF7B83">
        <w:rPr>
          <w:szCs w:val="24"/>
        </w:rPr>
        <w:t xml:space="preserve"> s</w:t>
      </w:r>
      <w:r w:rsidR="001B17F9" w:rsidRPr="00453A8C">
        <w:rPr>
          <w:szCs w:val="24"/>
        </w:rPr>
        <w:t xml:space="preserve">hipping </w:t>
      </w:r>
      <w:r w:rsidR="00B566C9" w:rsidRPr="00453A8C">
        <w:rPr>
          <w:szCs w:val="24"/>
        </w:rPr>
        <w:t xml:space="preserve">of </w:t>
      </w:r>
      <w:r w:rsidR="000B6542">
        <w:rPr>
          <w:szCs w:val="24"/>
        </w:rPr>
        <w:t>products</w:t>
      </w:r>
      <w:r w:rsidR="00B566C9" w:rsidRPr="00453A8C">
        <w:rPr>
          <w:szCs w:val="24"/>
        </w:rPr>
        <w:t xml:space="preserve"> </w:t>
      </w:r>
      <w:r w:rsidR="001D2289" w:rsidRPr="00453A8C">
        <w:rPr>
          <w:szCs w:val="24"/>
        </w:rPr>
        <w:t xml:space="preserve">is performed in two </w:t>
      </w:r>
      <w:r w:rsidR="003D4B47" w:rsidRPr="00453A8C">
        <w:rPr>
          <w:szCs w:val="24"/>
        </w:rPr>
        <w:t>separate</w:t>
      </w:r>
      <w:r w:rsidR="00C65D2F">
        <w:rPr>
          <w:szCs w:val="24"/>
        </w:rPr>
        <w:t xml:space="preserve"> </w:t>
      </w:r>
      <w:r w:rsidR="00B27836" w:rsidRPr="00453A8C">
        <w:rPr>
          <w:szCs w:val="24"/>
        </w:rPr>
        <w:t>echelons</w:t>
      </w:r>
      <w:r>
        <w:rPr>
          <w:szCs w:val="24"/>
        </w:rPr>
        <w:t>;</w:t>
      </w:r>
      <w:r w:rsidR="00B566C9" w:rsidRPr="00453A8C">
        <w:rPr>
          <w:szCs w:val="24"/>
        </w:rPr>
        <w:t xml:space="preserve"> a</w:t>
      </w:r>
      <w:r w:rsidR="001D2289" w:rsidRPr="00453A8C">
        <w:rPr>
          <w:szCs w:val="24"/>
        </w:rPr>
        <w:t xml:space="preserve">t the first </w:t>
      </w:r>
      <w:r w:rsidR="00B27836" w:rsidRPr="00453A8C">
        <w:rPr>
          <w:szCs w:val="24"/>
        </w:rPr>
        <w:t>echelon</w:t>
      </w:r>
      <w:r w:rsidR="001D2289" w:rsidRPr="00453A8C">
        <w:rPr>
          <w:szCs w:val="24"/>
        </w:rPr>
        <w:t xml:space="preserve">, </w:t>
      </w:r>
      <w:r w:rsidR="00CC6F23" w:rsidRPr="00453A8C">
        <w:rPr>
          <w:szCs w:val="24"/>
        </w:rPr>
        <w:t xml:space="preserve">the pickup </w:t>
      </w:r>
      <w:r w:rsidR="001D2289" w:rsidRPr="00453A8C">
        <w:rPr>
          <w:szCs w:val="24"/>
        </w:rPr>
        <w:t xml:space="preserve">vehicles </w:t>
      </w:r>
      <w:r>
        <w:rPr>
          <w:szCs w:val="24"/>
        </w:rPr>
        <w:t>leave the cross-dock</w:t>
      </w:r>
      <w:r w:rsidR="00B566C9" w:rsidRPr="00453A8C">
        <w:rPr>
          <w:szCs w:val="24"/>
        </w:rPr>
        <w:t xml:space="preserve"> to</w:t>
      </w:r>
      <w:r w:rsidR="00C65D2F">
        <w:rPr>
          <w:szCs w:val="24"/>
        </w:rPr>
        <w:t xml:space="preserve"> </w:t>
      </w:r>
      <w:r w:rsidR="001D2289" w:rsidRPr="00453A8C">
        <w:rPr>
          <w:szCs w:val="24"/>
        </w:rPr>
        <w:t xml:space="preserve">visit the suppliers and return to the </w:t>
      </w:r>
      <w:r>
        <w:rPr>
          <w:szCs w:val="24"/>
        </w:rPr>
        <w:t>cross-dock</w:t>
      </w:r>
      <w:r w:rsidR="00324B6B">
        <w:rPr>
          <w:szCs w:val="24"/>
        </w:rPr>
        <w:t>.</w:t>
      </w:r>
      <w:r w:rsidR="001D2289" w:rsidRPr="00453A8C">
        <w:rPr>
          <w:szCs w:val="24"/>
        </w:rPr>
        <w:t xml:space="preserve"> </w:t>
      </w:r>
      <w:r w:rsidR="00324B6B">
        <w:rPr>
          <w:szCs w:val="24"/>
        </w:rPr>
        <w:t>Then,</w:t>
      </w:r>
      <w:r w:rsidR="001D2289" w:rsidRPr="00453A8C">
        <w:rPr>
          <w:szCs w:val="24"/>
        </w:rPr>
        <w:t xml:space="preserve"> the picke</w:t>
      </w:r>
      <w:r w:rsidR="00C50F59" w:rsidRPr="00453A8C">
        <w:rPr>
          <w:szCs w:val="24"/>
        </w:rPr>
        <w:t xml:space="preserve">d up products are </w:t>
      </w:r>
      <w:r w:rsidR="003D4B47" w:rsidRPr="00453A8C">
        <w:rPr>
          <w:szCs w:val="24"/>
        </w:rPr>
        <w:t xml:space="preserve">unloaded from the vehicles and </w:t>
      </w:r>
      <w:r w:rsidR="0033337A" w:rsidRPr="00453A8C">
        <w:rPr>
          <w:szCs w:val="24"/>
        </w:rPr>
        <w:t xml:space="preserve">they </w:t>
      </w:r>
      <w:r w:rsidR="003D4B47" w:rsidRPr="00453A8C">
        <w:rPr>
          <w:szCs w:val="24"/>
        </w:rPr>
        <w:t xml:space="preserve">are </w:t>
      </w:r>
      <w:r w:rsidR="00C50F59" w:rsidRPr="00453A8C">
        <w:rPr>
          <w:szCs w:val="24"/>
        </w:rPr>
        <w:t xml:space="preserve">consolidated. </w:t>
      </w:r>
      <w:r w:rsidR="001D2289" w:rsidRPr="00453A8C">
        <w:rPr>
          <w:szCs w:val="24"/>
        </w:rPr>
        <w:t xml:space="preserve">At the second </w:t>
      </w:r>
      <w:r w:rsidR="00B27836" w:rsidRPr="00453A8C">
        <w:rPr>
          <w:szCs w:val="24"/>
        </w:rPr>
        <w:t>echelon</w:t>
      </w:r>
      <w:r w:rsidR="001D2289" w:rsidRPr="00453A8C">
        <w:rPr>
          <w:szCs w:val="24"/>
        </w:rPr>
        <w:t xml:space="preserve">, the consolidated products are </w:t>
      </w:r>
      <w:r>
        <w:rPr>
          <w:szCs w:val="24"/>
        </w:rPr>
        <w:t xml:space="preserve">sorted and </w:t>
      </w:r>
      <w:r w:rsidR="001D2289" w:rsidRPr="00453A8C">
        <w:rPr>
          <w:szCs w:val="24"/>
        </w:rPr>
        <w:t xml:space="preserve">loaded to </w:t>
      </w:r>
      <w:r w:rsidR="00CC6F23" w:rsidRPr="00453A8C">
        <w:rPr>
          <w:szCs w:val="24"/>
        </w:rPr>
        <w:t xml:space="preserve">the delivery </w:t>
      </w:r>
      <w:r w:rsidR="001D2289" w:rsidRPr="00453A8C">
        <w:rPr>
          <w:szCs w:val="24"/>
        </w:rPr>
        <w:t xml:space="preserve">vehicles </w:t>
      </w:r>
      <w:bookmarkStart w:id="51" w:name="OLE_LINK779"/>
      <w:bookmarkStart w:id="52" w:name="OLE_LINK790"/>
      <w:r w:rsidR="007A470E">
        <w:rPr>
          <w:szCs w:val="24"/>
        </w:rPr>
        <w:t>to be</w:t>
      </w:r>
      <w:r w:rsidR="00C65D2F">
        <w:rPr>
          <w:szCs w:val="24"/>
        </w:rPr>
        <w:t xml:space="preserve"> </w:t>
      </w:r>
      <w:bookmarkEnd w:id="51"/>
      <w:bookmarkEnd w:id="52"/>
      <w:r w:rsidR="00CC6F23" w:rsidRPr="00453A8C">
        <w:rPr>
          <w:szCs w:val="24"/>
        </w:rPr>
        <w:t>distributed</w:t>
      </w:r>
      <w:r w:rsidR="001D2289" w:rsidRPr="00453A8C">
        <w:rPr>
          <w:szCs w:val="24"/>
        </w:rPr>
        <w:t xml:space="preserve"> to </w:t>
      </w:r>
      <w:r w:rsidR="00CC6F23" w:rsidRPr="00453A8C">
        <w:rPr>
          <w:szCs w:val="24"/>
        </w:rPr>
        <w:t xml:space="preserve">the </w:t>
      </w:r>
      <w:r w:rsidR="001D2289" w:rsidRPr="00453A8C">
        <w:rPr>
          <w:szCs w:val="24"/>
        </w:rPr>
        <w:t>customer</w:t>
      </w:r>
      <w:r w:rsidR="008F21B0" w:rsidRPr="00453A8C">
        <w:rPr>
          <w:szCs w:val="24"/>
        </w:rPr>
        <w:t xml:space="preserve"> location</w:t>
      </w:r>
      <w:r w:rsidR="001D2289" w:rsidRPr="00453A8C">
        <w:rPr>
          <w:szCs w:val="24"/>
        </w:rPr>
        <w:t>s</w:t>
      </w:r>
      <w:r w:rsidR="00905DAA" w:rsidRPr="00453A8C">
        <w:rPr>
          <w:szCs w:val="24"/>
        </w:rPr>
        <w:t>.</w:t>
      </w:r>
    </w:p>
    <w:p w:rsidR="0097398B" w:rsidRDefault="00B00CA7" w:rsidP="00F86EE1">
      <w:pPr>
        <w:autoSpaceDE w:val="0"/>
        <w:autoSpaceDN w:val="0"/>
        <w:adjustRightInd w:val="0"/>
        <w:spacing w:after="0"/>
        <w:ind w:firstLine="720"/>
        <w:jc w:val="both"/>
      </w:pPr>
      <w:r>
        <w:rPr>
          <w:rFonts w:cs="Times New Roman"/>
          <w:szCs w:val="24"/>
        </w:rPr>
        <w:t xml:space="preserve">Although the PDP and VRPCD have been extensively studied in the literature, none of the existing works provide a cost benefit analysis </w:t>
      </w:r>
      <w:r w:rsidRPr="00AD578C">
        <w:rPr>
          <w:rFonts w:cs="Times New Roman"/>
          <w:szCs w:val="24"/>
        </w:rPr>
        <w:t xml:space="preserve">between the </w:t>
      </w:r>
      <w:r>
        <w:rPr>
          <w:rFonts w:cs="Times New Roman"/>
          <w:szCs w:val="24"/>
        </w:rPr>
        <w:t>direct shipping and cross-docking</w:t>
      </w:r>
      <w:r w:rsidRPr="00AD578C">
        <w:rPr>
          <w:rFonts w:cs="Times New Roman"/>
          <w:szCs w:val="24"/>
        </w:rPr>
        <w:t xml:space="preserve"> </w:t>
      </w:r>
      <w:r>
        <w:rPr>
          <w:rFonts w:cs="Times New Roman"/>
          <w:szCs w:val="24"/>
        </w:rPr>
        <w:t xml:space="preserve">strategies. </w:t>
      </w:r>
      <w:r w:rsidR="00AF01E7">
        <w:rPr>
          <w:rFonts w:cs="Times New Roman"/>
          <w:szCs w:val="24"/>
        </w:rPr>
        <w:t>Indeed</w:t>
      </w:r>
      <w:r w:rsidR="00AB698D">
        <w:rPr>
          <w:rFonts w:cs="Times New Roman"/>
          <w:szCs w:val="24"/>
        </w:rPr>
        <w:t>, there is an evident need to study</w:t>
      </w:r>
      <w:r>
        <w:rPr>
          <w:rFonts w:cs="Times New Roman"/>
          <w:szCs w:val="24"/>
        </w:rPr>
        <w:t xml:space="preserve"> the effect of </w:t>
      </w:r>
      <w:r w:rsidR="00AF01E7">
        <w:rPr>
          <w:rFonts w:cs="Times New Roman"/>
          <w:szCs w:val="24"/>
        </w:rPr>
        <w:t xml:space="preserve">the </w:t>
      </w:r>
      <w:r>
        <w:rPr>
          <w:rFonts w:cs="Times New Roman"/>
          <w:szCs w:val="24"/>
        </w:rPr>
        <w:t xml:space="preserve">network characteristics </w:t>
      </w:r>
      <w:r w:rsidR="00AB698D">
        <w:rPr>
          <w:rFonts w:cs="Times New Roman"/>
          <w:szCs w:val="24"/>
        </w:rPr>
        <w:t xml:space="preserve">and configuration </w:t>
      </w:r>
      <w:r w:rsidRPr="00AD578C">
        <w:rPr>
          <w:rFonts w:cs="Times New Roman"/>
          <w:szCs w:val="24"/>
        </w:rPr>
        <w:t xml:space="preserve">on the </w:t>
      </w:r>
      <w:r>
        <w:rPr>
          <w:rFonts w:cs="Times New Roman"/>
          <w:szCs w:val="24"/>
        </w:rPr>
        <w:t>routing costs for each strategy</w:t>
      </w:r>
      <w:r w:rsidR="00AB698D">
        <w:rPr>
          <w:rFonts w:cs="Times New Roman"/>
          <w:szCs w:val="24"/>
        </w:rPr>
        <w:t xml:space="preserve">, and to </w:t>
      </w:r>
      <w:r w:rsidR="007A53B5" w:rsidRPr="0096320C">
        <w:rPr>
          <w:rFonts w:cs="Times New Roman"/>
          <w:color w:val="000000"/>
          <w:szCs w:val="24"/>
        </w:rPr>
        <w:t xml:space="preserve">compare the </w:t>
      </w:r>
      <w:r w:rsidR="00F92498">
        <w:rPr>
          <w:rFonts w:cs="Times New Roman"/>
          <w:color w:val="000000"/>
          <w:szCs w:val="24"/>
        </w:rPr>
        <w:t xml:space="preserve">relative </w:t>
      </w:r>
      <w:r w:rsidR="00266114" w:rsidRPr="0096320C">
        <w:rPr>
          <w:rFonts w:cs="Times New Roman"/>
          <w:color w:val="000000"/>
          <w:szCs w:val="24"/>
        </w:rPr>
        <w:t>performance</w:t>
      </w:r>
      <w:r w:rsidR="00AB698D">
        <w:rPr>
          <w:rFonts w:cs="Times New Roman"/>
          <w:color w:val="000000"/>
          <w:szCs w:val="24"/>
        </w:rPr>
        <w:t xml:space="preserve">. </w:t>
      </w:r>
      <w:bookmarkStart w:id="53" w:name="OLE_LINK544"/>
      <w:bookmarkStart w:id="54" w:name="OLE_LINK545"/>
      <w:r w:rsidR="00AF01E7">
        <w:rPr>
          <w:rFonts w:cs="Times New Roman"/>
          <w:color w:val="000000"/>
          <w:szCs w:val="24"/>
        </w:rPr>
        <w:t>To that end,</w:t>
      </w:r>
      <w:r w:rsidR="00AB698D">
        <w:rPr>
          <w:rFonts w:cs="Times New Roman"/>
          <w:color w:val="000000"/>
          <w:szCs w:val="24"/>
        </w:rPr>
        <w:t xml:space="preserve"> our main </w:t>
      </w:r>
      <w:r w:rsidR="00B12A09">
        <w:rPr>
          <w:rFonts w:cs="Times New Roman"/>
          <w:color w:val="000000"/>
          <w:szCs w:val="24"/>
        </w:rPr>
        <w:t xml:space="preserve">aim </w:t>
      </w:r>
      <w:r w:rsidR="00AB698D">
        <w:rPr>
          <w:rFonts w:cs="Times New Roman"/>
          <w:color w:val="000000"/>
          <w:szCs w:val="24"/>
        </w:rPr>
        <w:t xml:space="preserve">is </w:t>
      </w:r>
      <w:r w:rsidR="00B12A09">
        <w:rPr>
          <w:rFonts w:cs="Times New Roman"/>
          <w:color w:val="000000"/>
          <w:szCs w:val="24"/>
        </w:rPr>
        <w:t xml:space="preserve">to evaluate the suitability of each strategy </w:t>
      </w:r>
      <w:r w:rsidR="00B12A09" w:rsidRPr="0096320C">
        <w:rPr>
          <w:rFonts w:cs="Times New Roman"/>
          <w:color w:val="000000"/>
          <w:szCs w:val="24"/>
        </w:rPr>
        <w:t xml:space="preserve">under various </w:t>
      </w:r>
      <w:r w:rsidR="00FE3292">
        <w:rPr>
          <w:rFonts w:cs="Times New Roman"/>
          <w:color w:val="000000"/>
          <w:szCs w:val="24"/>
        </w:rPr>
        <w:t xml:space="preserve">network </w:t>
      </w:r>
      <w:r w:rsidR="00AF01E7">
        <w:rPr>
          <w:rFonts w:cs="Times New Roman"/>
          <w:color w:val="000000"/>
          <w:szCs w:val="24"/>
        </w:rPr>
        <w:t xml:space="preserve">options </w:t>
      </w:r>
      <w:r w:rsidR="00FE3292">
        <w:rPr>
          <w:rFonts w:cs="Times New Roman"/>
          <w:color w:val="000000"/>
          <w:szCs w:val="24"/>
        </w:rPr>
        <w:t>and operational</w:t>
      </w:r>
      <w:r w:rsidR="00B12A09" w:rsidRPr="0096320C">
        <w:rPr>
          <w:rFonts w:cs="Times New Roman"/>
          <w:color w:val="000000"/>
          <w:szCs w:val="24"/>
        </w:rPr>
        <w:t xml:space="preserve"> settings</w:t>
      </w:r>
      <w:r w:rsidR="00B12A09">
        <w:rPr>
          <w:rFonts w:cs="Times New Roman"/>
          <w:color w:val="000000"/>
          <w:szCs w:val="24"/>
        </w:rPr>
        <w:t>, and examine how these variations are translated in terms of transportation costs.</w:t>
      </w:r>
      <w:bookmarkEnd w:id="53"/>
      <w:bookmarkEnd w:id="54"/>
      <w:r w:rsidR="00B56F6C">
        <w:rPr>
          <w:rFonts w:cs="Times New Roman"/>
          <w:color w:val="000000"/>
          <w:szCs w:val="24"/>
        </w:rPr>
        <w:t xml:space="preserve"> </w:t>
      </w:r>
      <w:r w:rsidR="003A702A">
        <w:t>For this purpose, a</w:t>
      </w:r>
      <w:r w:rsidR="00AB698D">
        <w:t>n innovative</w:t>
      </w:r>
      <w:r w:rsidR="003A702A" w:rsidRPr="003A702A">
        <w:t xml:space="preserve"> local search </w:t>
      </w:r>
      <w:r w:rsidR="00AF01E7">
        <w:t xml:space="preserve">based </w:t>
      </w:r>
      <w:r w:rsidR="00AB698D">
        <w:t xml:space="preserve">optimization method </w:t>
      </w:r>
      <w:r w:rsidR="00AB698D" w:rsidRPr="003A702A">
        <w:t>is proposed</w:t>
      </w:r>
      <w:r w:rsidR="00AB698D">
        <w:t xml:space="preserve"> for addressing </w:t>
      </w:r>
      <w:r w:rsidR="003A702A" w:rsidRPr="003A702A">
        <w:t>both problem settings</w:t>
      </w:r>
      <w:r w:rsidR="00AB698D">
        <w:t xml:space="preserve">, and it is used as the </w:t>
      </w:r>
      <w:r w:rsidR="00AF01E7">
        <w:t>toolset</w:t>
      </w:r>
      <w:r w:rsidR="00AB698D">
        <w:t xml:space="preserve"> for evaluating the performance of each strategy</w:t>
      </w:r>
      <w:r w:rsidR="003A702A" w:rsidRPr="003A702A">
        <w:t>.</w:t>
      </w:r>
      <w:r w:rsidR="00AB698D">
        <w:t xml:space="preserve"> It is worth to highlight that </w:t>
      </w:r>
      <w:r w:rsidR="00DF7BAF">
        <w:lastRenderedPageBreak/>
        <w:t xml:space="preserve">the proposed optimization method outperforms most of the current state-of-the-art solution approaches </w:t>
      </w:r>
      <w:r w:rsidR="00AF01E7">
        <w:t xml:space="preserve">both </w:t>
      </w:r>
      <w:r w:rsidR="00DF7BAF">
        <w:t>for the PDP and the VRPCD, while it matches and/or improves the best known solutions for many well-known benchmark problem instances of the literature.</w:t>
      </w:r>
    </w:p>
    <w:p w:rsidR="00DF7BAF" w:rsidRDefault="00DF7BAF" w:rsidP="00F86EE1">
      <w:pPr>
        <w:pStyle w:val="Default"/>
        <w:spacing w:line="276" w:lineRule="auto"/>
        <w:ind w:firstLine="720"/>
        <w:jc w:val="both"/>
        <w:rPr>
          <w:rFonts w:asciiTheme="minorHAnsi" w:hAnsiTheme="minorHAnsi"/>
          <w:sz w:val="22"/>
        </w:rPr>
      </w:pPr>
      <w:r>
        <w:rPr>
          <w:rFonts w:asciiTheme="minorHAnsi" w:hAnsiTheme="minorHAnsi"/>
          <w:sz w:val="22"/>
        </w:rPr>
        <w:t>V</w:t>
      </w:r>
      <w:r w:rsidR="00384E1A" w:rsidRPr="0097398B">
        <w:rPr>
          <w:rFonts w:asciiTheme="minorHAnsi" w:hAnsiTheme="minorHAnsi"/>
          <w:sz w:val="22"/>
        </w:rPr>
        <w:t>arious computat</w:t>
      </w:r>
      <w:r w:rsidR="00AB698D">
        <w:rPr>
          <w:rFonts w:asciiTheme="minorHAnsi" w:hAnsiTheme="minorHAnsi"/>
          <w:sz w:val="22"/>
        </w:rPr>
        <w:t xml:space="preserve">ional experiments are </w:t>
      </w:r>
      <w:r>
        <w:rPr>
          <w:rFonts w:asciiTheme="minorHAnsi" w:hAnsiTheme="minorHAnsi"/>
          <w:sz w:val="22"/>
        </w:rPr>
        <w:t xml:space="preserve">also </w:t>
      </w:r>
      <w:r w:rsidR="00AB698D">
        <w:rPr>
          <w:rFonts w:asciiTheme="minorHAnsi" w:hAnsiTheme="minorHAnsi"/>
          <w:sz w:val="22"/>
        </w:rPr>
        <w:t>reported</w:t>
      </w:r>
      <w:r w:rsidRPr="00DF7BAF">
        <w:rPr>
          <w:rFonts w:asciiTheme="minorHAnsi" w:hAnsiTheme="minorHAnsi"/>
          <w:sz w:val="22"/>
        </w:rPr>
        <w:t xml:space="preserve"> </w:t>
      </w:r>
      <w:r>
        <w:rPr>
          <w:rFonts w:asciiTheme="minorHAnsi" w:hAnsiTheme="minorHAnsi"/>
          <w:sz w:val="22"/>
        </w:rPr>
        <w:t>for comparing the two distribution strategies</w:t>
      </w:r>
      <w:r w:rsidR="00384E1A" w:rsidRPr="0097398B">
        <w:rPr>
          <w:rFonts w:asciiTheme="minorHAnsi" w:hAnsiTheme="minorHAnsi"/>
          <w:sz w:val="22"/>
        </w:rPr>
        <w:t>.</w:t>
      </w:r>
      <w:r w:rsidR="00C65D2F">
        <w:rPr>
          <w:rFonts w:asciiTheme="minorHAnsi" w:hAnsiTheme="minorHAnsi"/>
          <w:sz w:val="22"/>
        </w:rPr>
        <w:t xml:space="preserve"> </w:t>
      </w:r>
      <w:r w:rsidR="004D1E1C" w:rsidRPr="0097398B">
        <w:rPr>
          <w:rFonts w:asciiTheme="minorHAnsi" w:hAnsiTheme="minorHAnsi"/>
          <w:sz w:val="22"/>
        </w:rPr>
        <w:t>In particular, s</w:t>
      </w:r>
      <w:r w:rsidR="005D4D56" w:rsidRPr="0097398B">
        <w:rPr>
          <w:rFonts w:asciiTheme="minorHAnsi" w:hAnsiTheme="minorHAnsi"/>
          <w:sz w:val="22"/>
        </w:rPr>
        <w:t>everal problem instances are constructed to cover cases where customers and suppliers are located in the same area as well as cases where suppliers and customers are positioned into different geographic regions. The role of the supplier-customer</w:t>
      </w:r>
      <w:r w:rsidR="003E17D7">
        <w:rPr>
          <w:rFonts w:asciiTheme="minorHAnsi" w:hAnsiTheme="minorHAnsi"/>
          <w:sz w:val="22"/>
        </w:rPr>
        <w:t xml:space="preserve"> pair</w:t>
      </w:r>
      <w:r w:rsidR="005D4D56" w:rsidRPr="0097398B">
        <w:rPr>
          <w:rFonts w:asciiTheme="minorHAnsi" w:hAnsiTheme="minorHAnsi"/>
          <w:sz w:val="22"/>
        </w:rPr>
        <w:t xml:space="preserve"> </w:t>
      </w:r>
      <w:r w:rsidR="003E17D7">
        <w:rPr>
          <w:rFonts w:asciiTheme="minorHAnsi" w:hAnsiTheme="minorHAnsi"/>
          <w:sz w:val="22"/>
        </w:rPr>
        <w:t xml:space="preserve">proximity </w:t>
      </w:r>
      <w:r w:rsidR="005D4D56" w:rsidRPr="0097398B">
        <w:rPr>
          <w:rFonts w:asciiTheme="minorHAnsi" w:hAnsiTheme="minorHAnsi"/>
          <w:sz w:val="22"/>
        </w:rPr>
        <w:t>is also examined. To do so, several problem sub-classes are</w:t>
      </w:r>
      <w:r w:rsidR="00B359D0">
        <w:rPr>
          <w:rFonts w:asciiTheme="minorHAnsi" w:hAnsiTheme="minorHAnsi"/>
          <w:sz w:val="22"/>
        </w:rPr>
        <w:t xml:space="preserve"> created and solved</w:t>
      </w:r>
      <w:r w:rsidR="005D4D56" w:rsidRPr="0097398B">
        <w:rPr>
          <w:rFonts w:asciiTheme="minorHAnsi" w:hAnsiTheme="minorHAnsi"/>
          <w:sz w:val="22"/>
        </w:rPr>
        <w:t xml:space="preserve">, involving remote, close and mixed pickup and delivery pairs. In addition, we try to </w:t>
      </w:r>
      <w:r w:rsidR="00AF01E7">
        <w:rPr>
          <w:rFonts w:asciiTheme="minorHAnsi" w:hAnsiTheme="minorHAnsi"/>
          <w:sz w:val="22"/>
        </w:rPr>
        <w:t>examine</w:t>
      </w:r>
      <w:r w:rsidR="005D4D56" w:rsidRPr="0097398B">
        <w:rPr>
          <w:rFonts w:asciiTheme="minorHAnsi" w:hAnsiTheme="minorHAnsi"/>
          <w:sz w:val="22"/>
        </w:rPr>
        <w:t xml:space="preserve"> the </w:t>
      </w:r>
      <w:r w:rsidR="005D4D56" w:rsidRPr="00CD64BA">
        <w:rPr>
          <w:rFonts w:asciiTheme="minorHAnsi" w:hAnsiTheme="minorHAnsi"/>
          <w:sz w:val="22"/>
        </w:rPr>
        <w:t>effect of the vehicle capacity and the tightness of the maximum route duration constraints on the total transportation costs</w:t>
      </w:r>
      <w:r w:rsidR="00A25A63">
        <w:rPr>
          <w:rFonts w:asciiTheme="minorHAnsi" w:hAnsiTheme="minorHAnsi"/>
          <w:sz w:val="22"/>
        </w:rPr>
        <w:t xml:space="preserve">. </w:t>
      </w:r>
      <w:r w:rsidR="005D4D56" w:rsidRPr="00CD64BA">
        <w:rPr>
          <w:rFonts w:asciiTheme="minorHAnsi" w:hAnsiTheme="minorHAnsi"/>
          <w:sz w:val="22"/>
        </w:rPr>
        <w:t xml:space="preserve">The impact of the </w:t>
      </w:r>
      <w:r w:rsidR="003A6947">
        <w:rPr>
          <w:rFonts w:asciiTheme="minorHAnsi" w:hAnsiTheme="minorHAnsi"/>
          <w:sz w:val="22"/>
        </w:rPr>
        <w:t>depot</w:t>
      </w:r>
      <w:r w:rsidR="005D4D56" w:rsidRPr="00CD64BA">
        <w:rPr>
          <w:rFonts w:asciiTheme="minorHAnsi" w:hAnsiTheme="minorHAnsi"/>
          <w:sz w:val="22"/>
        </w:rPr>
        <w:t xml:space="preserve"> positioning </w:t>
      </w:r>
      <w:r w:rsidR="00382C56">
        <w:rPr>
          <w:rFonts w:asciiTheme="minorHAnsi" w:hAnsiTheme="minorHAnsi"/>
          <w:sz w:val="22"/>
        </w:rPr>
        <w:t>with</w:t>
      </w:r>
      <w:r w:rsidR="005D4D56" w:rsidRPr="00CD64BA">
        <w:rPr>
          <w:rFonts w:asciiTheme="minorHAnsi" w:hAnsiTheme="minorHAnsi"/>
          <w:sz w:val="22"/>
        </w:rPr>
        <w:t xml:space="preserve"> respect to the various supplier and customer nodes is also considered. Finally, we ex</w:t>
      </w:r>
      <w:r w:rsidR="00BA76D3">
        <w:rPr>
          <w:rFonts w:asciiTheme="minorHAnsi" w:hAnsiTheme="minorHAnsi"/>
          <w:sz w:val="22"/>
        </w:rPr>
        <w:t xml:space="preserve">amine how the time required for </w:t>
      </w:r>
      <w:r w:rsidR="005D4D56" w:rsidRPr="00CD64BA">
        <w:rPr>
          <w:rFonts w:asciiTheme="minorHAnsi" w:hAnsiTheme="minorHAnsi"/>
          <w:sz w:val="22"/>
        </w:rPr>
        <w:t>cross-dock consolidation operations can affect the total transportation costs</w:t>
      </w:r>
      <w:r w:rsidR="0004580E">
        <w:rPr>
          <w:rFonts w:asciiTheme="minorHAnsi" w:hAnsiTheme="minorHAnsi"/>
          <w:sz w:val="22"/>
        </w:rPr>
        <w:t>,</w:t>
      </w:r>
      <w:r w:rsidR="005D4D56" w:rsidRPr="00CD64BA">
        <w:rPr>
          <w:rFonts w:asciiTheme="minorHAnsi" w:hAnsiTheme="minorHAnsi"/>
          <w:sz w:val="22"/>
        </w:rPr>
        <w:t xml:space="preserve"> and consequently the relative effectiveness of the </w:t>
      </w:r>
      <w:r w:rsidR="0004580E">
        <w:rPr>
          <w:rFonts w:asciiTheme="minorHAnsi" w:hAnsiTheme="minorHAnsi"/>
          <w:sz w:val="22"/>
        </w:rPr>
        <w:t>direct and cross-docking strategies</w:t>
      </w:r>
      <w:r w:rsidR="00AB698D">
        <w:rPr>
          <w:rFonts w:asciiTheme="minorHAnsi" w:hAnsiTheme="minorHAnsi"/>
          <w:sz w:val="22"/>
        </w:rPr>
        <w:t>.</w:t>
      </w:r>
    </w:p>
    <w:p w:rsidR="00B20A00" w:rsidRDefault="003A5523" w:rsidP="00F86EE1">
      <w:pPr>
        <w:pStyle w:val="Default"/>
        <w:spacing w:line="276" w:lineRule="auto"/>
        <w:ind w:firstLine="720"/>
        <w:jc w:val="both"/>
        <w:rPr>
          <w:rFonts w:asciiTheme="minorHAnsi" w:hAnsiTheme="minorHAnsi"/>
          <w:sz w:val="22"/>
        </w:rPr>
      </w:pPr>
      <w:r w:rsidRPr="0097398B">
        <w:rPr>
          <w:rFonts w:asciiTheme="minorHAnsi" w:hAnsiTheme="minorHAnsi"/>
          <w:sz w:val="22"/>
        </w:rPr>
        <w:t xml:space="preserve">The remainder of this </w:t>
      </w:r>
      <w:r w:rsidR="001C40EE">
        <w:rPr>
          <w:rFonts w:asciiTheme="minorHAnsi" w:hAnsiTheme="minorHAnsi"/>
          <w:sz w:val="22"/>
        </w:rPr>
        <w:t>paper</w:t>
      </w:r>
      <w:r w:rsidRPr="0097398B">
        <w:rPr>
          <w:rFonts w:asciiTheme="minorHAnsi" w:hAnsiTheme="minorHAnsi"/>
          <w:sz w:val="22"/>
        </w:rPr>
        <w:t xml:space="preserve"> is organized as follows</w:t>
      </w:r>
      <w:r w:rsidR="005F113C">
        <w:rPr>
          <w:rFonts w:asciiTheme="minorHAnsi" w:hAnsiTheme="minorHAnsi"/>
          <w:sz w:val="22"/>
        </w:rPr>
        <w:t xml:space="preserve">. We begin by presenting </w:t>
      </w:r>
      <w:r w:rsidR="00BE0CC7" w:rsidRPr="0097398B">
        <w:rPr>
          <w:rFonts w:asciiTheme="minorHAnsi" w:hAnsiTheme="minorHAnsi"/>
          <w:sz w:val="22"/>
        </w:rPr>
        <w:t>related work</w:t>
      </w:r>
      <w:r w:rsidR="00C65D2F">
        <w:rPr>
          <w:rFonts w:asciiTheme="minorHAnsi" w:hAnsiTheme="minorHAnsi"/>
          <w:sz w:val="22"/>
        </w:rPr>
        <w:t xml:space="preserve"> </w:t>
      </w:r>
      <w:r w:rsidR="00E010B1">
        <w:rPr>
          <w:rFonts w:asciiTheme="minorHAnsi" w:hAnsiTheme="minorHAnsi"/>
          <w:sz w:val="22"/>
        </w:rPr>
        <w:t>in the literature</w:t>
      </w:r>
      <w:r w:rsidR="003D5948" w:rsidRPr="0097398B">
        <w:rPr>
          <w:rFonts w:asciiTheme="minorHAnsi" w:hAnsiTheme="minorHAnsi"/>
          <w:sz w:val="22"/>
        </w:rPr>
        <w:t xml:space="preserve">. </w:t>
      </w:r>
      <w:r w:rsidR="005F113C">
        <w:rPr>
          <w:rFonts w:asciiTheme="minorHAnsi" w:hAnsiTheme="minorHAnsi"/>
          <w:sz w:val="22"/>
        </w:rPr>
        <w:t>W</w:t>
      </w:r>
      <w:r w:rsidR="003D5948" w:rsidRPr="0097398B">
        <w:rPr>
          <w:rFonts w:asciiTheme="minorHAnsi" w:hAnsiTheme="minorHAnsi"/>
          <w:sz w:val="22"/>
        </w:rPr>
        <w:t xml:space="preserve">e </w:t>
      </w:r>
      <w:r w:rsidR="005F113C">
        <w:rPr>
          <w:rFonts w:asciiTheme="minorHAnsi" w:hAnsiTheme="minorHAnsi"/>
          <w:sz w:val="22"/>
        </w:rPr>
        <w:t xml:space="preserve">then </w:t>
      </w:r>
      <w:r w:rsidR="003D5948" w:rsidRPr="0097398B">
        <w:rPr>
          <w:rFonts w:asciiTheme="minorHAnsi" w:hAnsiTheme="minorHAnsi"/>
          <w:sz w:val="22"/>
        </w:rPr>
        <w:t xml:space="preserve">give the </w:t>
      </w:r>
      <w:r w:rsidR="003A702A">
        <w:rPr>
          <w:rFonts w:asciiTheme="minorHAnsi" w:hAnsiTheme="minorHAnsi"/>
          <w:sz w:val="22"/>
        </w:rPr>
        <w:t>description and notation</w:t>
      </w:r>
      <w:r w:rsidR="003D5948" w:rsidRPr="0097398B">
        <w:rPr>
          <w:rFonts w:asciiTheme="minorHAnsi" w:hAnsiTheme="minorHAnsi"/>
          <w:sz w:val="22"/>
        </w:rPr>
        <w:t xml:space="preserve"> of the </w:t>
      </w:r>
      <w:r w:rsidR="003A702A">
        <w:rPr>
          <w:rFonts w:asciiTheme="minorHAnsi" w:hAnsiTheme="minorHAnsi"/>
          <w:sz w:val="22"/>
        </w:rPr>
        <w:t>problem settings</w:t>
      </w:r>
      <w:r w:rsidR="003D5948" w:rsidRPr="0097398B">
        <w:rPr>
          <w:rFonts w:asciiTheme="minorHAnsi" w:hAnsiTheme="minorHAnsi"/>
          <w:sz w:val="22"/>
        </w:rPr>
        <w:t xml:space="preserve"> considered. </w:t>
      </w:r>
      <w:r w:rsidR="005F113C">
        <w:rPr>
          <w:rFonts w:asciiTheme="minorHAnsi" w:hAnsiTheme="minorHAnsi"/>
          <w:sz w:val="22"/>
        </w:rPr>
        <w:t>In t</w:t>
      </w:r>
      <w:r w:rsidR="003D5948" w:rsidRPr="0097398B">
        <w:rPr>
          <w:rFonts w:asciiTheme="minorHAnsi" w:hAnsiTheme="minorHAnsi"/>
          <w:sz w:val="22"/>
        </w:rPr>
        <w:t xml:space="preserve">he </w:t>
      </w:r>
      <w:r w:rsidR="005F113C">
        <w:rPr>
          <w:rFonts w:asciiTheme="minorHAnsi" w:hAnsiTheme="minorHAnsi"/>
          <w:sz w:val="22"/>
        </w:rPr>
        <w:t xml:space="preserve">next section, the </w:t>
      </w:r>
      <w:r w:rsidR="003D5948" w:rsidRPr="0097398B">
        <w:rPr>
          <w:rFonts w:asciiTheme="minorHAnsi" w:hAnsiTheme="minorHAnsi"/>
          <w:sz w:val="22"/>
        </w:rPr>
        <w:t xml:space="preserve">proposed solution methodology for each of the two </w:t>
      </w:r>
      <w:r w:rsidR="00650B40">
        <w:rPr>
          <w:rFonts w:asciiTheme="minorHAnsi" w:hAnsiTheme="minorHAnsi"/>
          <w:sz w:val="22"/>
        </w:rPr>
        <w:t>settings</w:t>
      </w:r>
      <w:r w:rsidR="00CD64BA">
        <w:rPr>
          <w:rFonts w:asciiTheme="minorHAnsi" w:hAnsiTheme="minorHAnsi"/>
          <w:sz w:val="22"/>
        </w:rPr>
        <w:t xml:space="preserve"> is presented. </w:t>
      </w:r>
      <w:r w:rsidR="00F86EE1">
        <w:rPr>
          <w:rFonts w:asciiTheme="minorHAnsi" w:hAnsiTheme="minorHAnsi"/>
          <w:sz w:val="22"/>
        </w:rPr>
        <w:t>We then report and discuss</w:t>
      </w:r>
      <w:r w:rsidR="003D5948" w:rsidRPr="0097398B">
        <w:rPr>
          <w:rFonts w:asciiTheme="minorHAnsi" w:hAnsiTheme="minorHAnsi"/>
          <w:sz w:val="22"/>
        </w:rPr>
        <w:t xml:space="preserve"> the </w:t>
      </w:r>
      <w:r w:rsidR="00382C56">
        <w:rPr>
          <w:rFonts w:asciiTheme="minorHAnsi" w:hAnsiTheme="minorHAnsi"/>
          <w:sz w:val="22"/>
        </w:rPr>
        <w:t xml:space="preserve">computational </w:t>
      </w:r>
      <w:r w:rsidR="003D5948" w:rsidRPr="0097398B">
        <w:rPr>
          <w:rFonts w:asciiTheme="minorHAnsi" w:hAnsiTheme="minorHAnsi"/>
          <w:sz w:val="22"/>
        </w:rPr>
        <w:t>results</w:t>
      </w:r>
      <w:r w:rsidR="00382C56">
        <w:rPr>
          <w:rFonts w:asciiTheme="minorHAnsi" w:hAnsiTheme="minorHAnsi"/>
          <w:sz w:val="22"/>
        </w:rPr>
        <w:t xml:space="preserve"> of our study</w:t>
      </w:r>
      <w:r w:rsidR="003D5E5A" w:rsidRPr="0097398B">
        <w:rPr>
          <w:rFonts w:asciiTheme="minorHAnsi" w:hAnsiTheme="minorHAnsi"/>
          <w:sz w:val="22"/>
        </w:rPr>
        <w:t>.</w:t>
      </w:r>
      <w:r w:rsidR="000E620E">
        <w:rPr>
          <w:rFonts w:asciiTheme="minorHAnsi" w:hAnsiTheme="minorHAnsi"/>
          <w:sz w:val="22"/>
        </w:rPr>
        <w:t xml:space="preserve"> </w:t>
      </w:r>
      <w:r w:rsidR="00AC155A" w:rsidRPr="0097398B">
        <w:rPr>
          <w:rFonts w:asciiTheme="minorHAnsi" w:hAnsiTheme="minorHAnsi"/>
          <w:sz w:val="22"/>
        </w:rPr>
        <w:t xml:space="preserve">The </w:t>
      </w:r>
      <w:r w:rsidR="00F86EE1">
        <w:rPr>
          <w:rFonts w:asciiTheme="minorHAnsi" w:hAnsiTheme="minorHAnsi"/>
          <w:sz w:val="22"/>
        </w:rPr>
        <w:t xml:space="preserve">concluding section presents the </w:t>
      </w:r>
      <w:r w:rsidR="00AC155A" w:rsidRPr="0097398B">
        <w:rPr>
          <w:rFonts w:asciiTheme="minorHAnsi" w:hAnsiTheme="minorHAnsi"/>
          <w:sz w:val="22"/>
        </w:rPr>
        <w:t>outcomes of this work</w:t>
      </w:r>
      <w:bookmarkStart w:id="55" w:name="OLE_LINK239"/>
      <w:bookmarkStart w:id="56" w:name="OLE_LINK240"/>
      <w:bookmarkStart w:id="57" w:name="OLE_LINK244"/>
      <w:bookmarkEnd w:id="33"/>
      <w:bookmarkEnd w:id="34"/>
      <w:r w:rsidR="00783718">
        <w:rPr>
          <w:rFonts w:asciiTheme="minorHAnsi" w:hAnsiTheme="minorHAnsi"/>
          <w:sz w:val="22"/>
        </w:rPr>
        <w:t>.</w:t>
      </w:r>
    </w:p>
    <w:p w:rsidR="002520E5" w:rsidRPr="005F113C" w:rsidRDefault="002520E5" w:rsidP="00531714">
      <w:pPr>
        <w:pStyle w:val="Default"/>
        <w:spacing w:line="276" w:lineRule="auto"/>
        <w:jc w:val="both"/>
        <w:rPr>
          <w:rFonts w:asciiTheme="minorHAnsi" w:hAnsiTheme="minorHAnsi"/>
          <w:sz w:val="22"/>
        </w:rPr>
      </w:pPr>
    </w:p>
    <w:p w:rsidR="00F86EE1" w:rsidRDefault="00BA4DB5" w:rsidP="00F86EE1">
      <w:pPr>
        <w:spacing w:after="0"/>
        <w:jc w:val="both"/>
        <w:outlineLvl w:val="0"/>
        <w:rPr>
          <w:rFonts w:cs="Times New Roman"/>
          <w:b/>
          <w:szCs w:val="24"/>
        </w:rPr>
      </w:pPr>
      <w:r w:rsidRPr="0097398B">
        <w:rPr>
          <w:rFonts w:cs="Times New Roman"/>
          <w:b/>
          <w:szCs w:val="24"/>
        </w:rPr>
        <w:t>Related work</w:t>
      </w:r>
      <w:bookmarkStart w:id="58" w:name="OLE_LINK40"/>
      <w:bookmarkStart w:id="59" w:name="OLE_LINK41"/>
      <w:bookmarkEnd w:id="55"/>
      <w:bookmarkEnd w:id="56"/>
      <w:bookmarkEnd w:id="57"/>
    </w:p>
    <w:p w:rsidR="00783718" w:rsidRPr="00F86EE1" w:rsidRDefault="00A510E1" w:rsidP="00F86EE1">
      <w:pPr>
        <w:spacing w:after="0"/>
        <w:jc w:val="both"/>
        <w:outlineLvl w:val="0"/>
        <w:rPr>
          <w:rFonts w:cs="Times New Roman"/>
          <w:b/>
          <w:szCs w:val="24"/>
        </w:rPr>
      </w:pPr>
      <w:r>
        <w:rPr>
          <w:rFonts w:cs="Times New Roman"/>
          <w:color w:val="000000"/>
          <w:szCs w:val="24"/>
        </w:rPr>
        <w:t>T</w:t>
      </w:r>
      <w:r w:rsidR="00E92D9D" w:rsidRPr="00EF531A">
        <w:rPr>
          <w:rFonts w:cs="Times New Roman"/>
          <w:color w:val="000000"/>
          <w:szCs w:val="24"/>
        </w:rPr>
        <w:t xml:space="preserve">he problem of </w:t>
      </w:r>
      <w:r w:rsidR="00A868EB">
        <w:rPr>
          <w:rFonts w:cs="Times New Roman"/>
          <w:color w:val="000000"/>
          <w:szCs w:val="24"/>
        </w:rPr>
        <w:t>transferring</w:t>
      </w:r>
      <w:r w:rsidR="00E92D9D" w:rsidRPr="00EF531A">
        <w:rPr>
          <w:rFonts w:cs="Times New Roman"/>
          <w:color w:val="000000"/>
          <w:szCs w:val="24"/>
        </w:rPr>
        <w:t xml:space="preserve"> </w:t>
      </w:r>
      <w:r w:rsidR="000B6542">
        <w:rPr>
          <w:rFonts w:cs="Times New Roman"/>
          <w:color w:val="000000"/>
          <w:szCs w:val="24"/>
        </w:rPr>
        <w:t>products</w:t>
      </w:r>
      <w:r w:rsidR="00E92D9D" w:rsidRPr="00EF531A">
        <w:rPr>
          <w:rFonts w:cs="Times New Roman"/>
          <w:color w:val="000000"/>
          <w:szCs w:val="24"/>
        </w:rPr>
        <w:t xml:space="preserve"> </w:t>
      </w:r>
      <w:r w:rsidR="00A4698E">
        <w:rPr>
          <w:rFonts w:cs="Times New Roman"/>
          <w:color w:val="000000"/>
          <w:szCs w:val="24"/>
        </w:rPr>
        <w:t>between origin and destination pairs</w:t>
      </w:r>
      <w:r>
        <w:rPr>
          <w:rFonts w:cs="Times New Roman"/>
          <w:color w:val="000000"/>
          <w:szCs w:val="24"/>
        </w:rPr>
        <w:t xml:space="preserve"> has received great </w:t>
      </w:r>
      <w:r w:rsidR="00A868EB">
        <w:rPr>
          <w:rFonts w:cs="Times New Roman"/>
          <w:color w:val="000000"/>
          <w:szCs w:val="24"/>
        </w:rPr>
        <w:t xml:space="preserve">research </w:t>
      </w:r>
      <w:r>
        <w:rPr>
          <w:rFonts w:cs="Times New Roman"/>
          <w:color w:val="000000"/>
          <w:szCs w:val="24"/>
        </w:rPr>
        <w:t>interest</w:t>
      </w:r>
      <w:r w:rsidR="00AC2777">
        <w:rPr>
          <w:rFonts w:cs="Times New Roman"/>
          <w:color w:val="000000"/>
          <w:szCs w:val="24"/>
        </w:rPr>
        <w:t xml:space="preserve">. </w:t>
      </w:r>
      <w:r w:rsidR="0090649E">
        <w:rPr>
          <w:rFonts w:cs="Times New Roman"/>
          <w:color w:val="000000"/>
          <w:szCs w:val="24"/>
        </w:rPr>
        <w:t>Regarding previously published models and solution approaches</w:t>
      </w:r>
      <w:r w:rsidR="004C0C0F">
        <w:rPr>
          <w:rFonts w:cs="Times New Roman"/>
          <w:color w:val="000000"/>
          <w:szCs w:val="24"/>
        </w:rPr>
        <w:t>,</w:t>
      </w:r>
      <w:r w:rsidR="0090649E">
        <w:rPr>
          <w:rFonts w:cs="Times New Roman"/>
          <w:color w:val="000000"/>
          <w:szCs w:val="24"/>
        </w:rPr>
        <w:t xml:space="preserve"> </w:t>
      </w:r>
      <w:r w:rsidR="003E47AA">
        <w:rPr>
          <w:rFonts w:cs="Times New Roman"/>
          <w:color w:val="000000"/>
          <w:szCs w:val="24"/>
        </w:rPr>
        <w:t>we distinguish between</w:t>
      </w:r>
      <w:r w:rsidR="00AC2777">
        <w:rPr>
          <w:rFonts w:cs="Times New Roman"/>
          <w:color w:val="000000"/>
          <w:szCs w:val="24"/>
        </w:rPr>
        <w:t xml:space="preserve"> two main </w:t>
      </w:r>
      <w:r w:rsidR="00AF01E7">
        <w:rPr>
          <w:rFonts w:cs="Times New Roman"/>
          <w:color w:val="000000"/>
          <w:szCs w:val="24"/>
        </w:rPr>
        <w:t>groups</w:t>
      </w:r>
      <w:r w:rsidR="0012064D">
        <w:rPr>
          <w:rFonts w:cs="Times New Roman"/>
          <w:color w:val="000000"/>
          <w:szCs w:val="24"/>
        </w:rPr>
        <w:t xml:space="preserve">, namely </w:t>
      </w:r>
      <w:r w:rsidR="00AC2777">
        <w:rPr>
          <w:rFonts w:cs="Times New Roman"/>
          <w:color w:val="000000"/>
          <w:szCs w:val="24"/>
        </w:rPr>
        <w:t xml:space="preserve">direct shipping and shipping via intermediate </w:t>
      </w:r>
      <w:r w:rsidR="002C2A1F">
        <w:rPr>
          <w:rFonts w:cs="Times New Roman"/>
          <w:color w:val="000000"/>
          <w:szCs w:val="24"/>
        </w:rPr>
        <w:t>facilities</w:t>
      </w:r>
      <w:bookmarkStart w:id="60" w:name="OLE_LINK55"/>
      <w:bookmarkStart w:id="61" w:name="OLE_LINK523"/>
      <w:bookmarkStart w:id="62" w:name="OLE_LINK524"/>
      <w:bookmarkEnd w:id="58"/>
      <w:bookmarkEnd w:id="59"/>
      <w:r w:rsidR="00E70A03">
        <w:rPr>
          <w:rFonts w:cs="Times New Roman"/>
          <w:color w:val="000000"/>
          <w:szCs w:val="24"/>
        </w:rPr>
        <w:t>.</w:t>
      </w:r>
    </w:p>
    <w:p w:rsidR="00CB7476" w:rsidRDefault="003E47AA" w:rsidP="00F86EE1">
      <w:pPr>
        <w:autoSpaceDE w:val="0"/>
        <w:autoSpaceDN w:val="0"/>
        <w:adjustRightInd w:val="0"/>
        <w:spacing w:after="0"/>
        <w:ind w:firstLine="720"/>
        <w:jc w:val="both"/>
        <w:rPr>
          <w:rFonts w:cs="Times New Roman"/>
          <w:color w:val="000000"/>
          <w:szCs w:val="24"/>
        </w:rPr>
      </w:pPr>
      <w:r>
        <w:rPr>
          <w:rFonts w:cs="Times New Roman"/>
          <w:color w:val="000000"/>
          <w:szCs w:val="24"/>
        </w:rPr>
        <w:t xml:space="preserve">The first </w:t>
      </w:r>
      <w:bookmarkStart w:id="63" w:name="OLE_LINK191"/>
      <w:bookmarkStart w:id="64" w:name="OLE_LINK192"/>
      <w:bookmarkStart w:id="65" w:name="OLE_LINK193"/>
      <w:r w:rsidR="00AF01E7">
        <w:rPr>
          <w:rFonts w:cs="Times New Roman"/>
          <w:color w:val="000000"/>
          <w:szCs w:val="24"/>
        </w:rPr>
        <w:t>group</w:t>
      </w:r>
      <w:r w:rsidR="002E4561">
        <w:rPr>
          <w:rFonts w:cs="Times New Roman"/>
          <w:color w:val="000000"/>
          <w:szCs w:val="24"/>
        </w:rPr>
        <w:t xml:space="preserve"> </w:t>
      </w:r>
      <w:r w:rsidR="007E7C72" w:rsidRPr="0090649E">
        <w:rPr>
          <w:rFonts w:cs="Times New Roman"/>
          <w:color w:val="000000"/>
          <w:szCs w:val="24"/>
        </w:rPr>
        <w:t>includes problem</w:t>
      </w:r>
      <w:r w:rsidR="002E4561">
        <w:rPr>
          <w:rFonts w:cs="Times New Roman"/>
          <w:color w:val="000000"/>
          <w:szCs w:val="24"/>
        </w:rPr>
        <w:t xml:space="preserve"> </w:t>
      </w:r>
      <w:r w:rsidR="0012064D">
        <w:rPr>
          <w:rFonts w:cs="Times New Roman"/>
          <w:color w:val="000000"/>
          <w:szCs w:val="24"/>
        </w:rPr>
        <w:t>settings</w:t>
      </w:r>
      <w:r w:rsidR="00327881" w:rsidRPr="0090649E">
        <w:rPr>
          <w:rFonts w:cs="Times New Roman"/>
          <w:color w:val="000000"/>
          <w:szCs w:val="24"/>
        </w:rPr>
        <w:t xml:space="preserve"> where products are directly shipped from a set of suppliers to a set of </w:t>
      </w:r>
      <w:r w:rsidR="004C0C0F">
        <w:rPr>
          <w:rFonts w:cs="Times New Roman"/>
          <w:color w:val="000000"/>
          <w:szCs w:val="24"/>
        </w:rPr>
        <w:t xml:space="preserve">associated </w:t>
      </w:r>
      <w:r w:rsidR="00327881" w:rsidRPr="0090649E">
        <w:rPr>
          <w:rFonts w:cs="Times New Roman"/>
          <w:color w:val="000000"/>
          <w:szCs w:val="24"/>
        </w:rPr>
        <w:t>customers</w:t>
      </w:r>
      <w:bookmarkEnd w:id="60"/>
      <w:r w:rsidR="00021868" w:rsidRPr="0090649E">
        <w:rPr>
          <w:rFonts w:cs="Times New Roman"/>
          <w:color w:val="000000"/>
          <w:szCs w:val="24"/>
        </w:rPr>
        <w:t xml:space="preserve">, </w:t>
      </w:r>
      <w:r w:rsidR="00327881" w:rsidRPr="0090649E">
        <w:rPr>
          <w:rFonts w:cs="Times New Roman"/>
          <w:color w:val="000000"/>
          <w:szCs w:val="24"/>
        </w:rPr>
        <w:t xml:space="preserve">as </w:t>
      </w:r>
      <w:bookmarkEnd w:id="63"/>
      <w:bookmarkEnd w:id="64"/>
      <w:bookmarkEnd w:id="65"/>
      <w:r w:rsidR="004C0C0F">
        <w:rPr>
          <w:rFonts w:cs="Times New Roman"/>
          <w:color w:val="000000"/>
          <w:szCs w:val="24"/>
        </w:rPr>
        <w:t xml:space="preserve">considered by </w:t>
      </w:r>
      <w:r w:rsidR="00327881" w:rsidRPr="0090649E">
        <w:rPr>
          <w:rFonts w:cs="Times New Roman"/>
          <w:color w:val="000000"/>
          <w:szCs w:val="24"/>
        </w:rPr>
        <w:t xml:space="preserve">the </w:t>
      </w:r>
      <w:r w:rsidR="00AF01E7">
        <w:rPr>
          <w:rFonts w:cs="Times New Roman"/>
          <w:color w:val="000000"/>
          <w:szCs w:val="24"/>
        </w:rPr>
        <w:t>classic archetypal</w:t>
      </w:r>
      <w:r w:rsidR="00327881" w:rsidRPr="0090649E">
        <w:rPr>
          <w:rFonts w:cs="Times New Roman"/>
          <w:color w:val="000000"/>
          <w:szCs w:val="24"/>
        </w:rPr>
        <w:t xml:space="preserve"> </w:t>
      </w:r>
      <w:r w:rsidR="00207236" w:rsidRPr="00E23D30">
        <w:rPr>
          <w:rFonts w:cs="Times New Roman"/>
          <w:color w:val="000000"/>
          <w:szCs w:val="24"/>
        </w:rPr>
        <w:t xml:space="preserve">Pickup-and-Delivery Problem </w:t>
      </w:r>
      <w:bookmarkEnd w:id="61"/>
      <w:bookmarkEnd w:id="62"/>
      <w:r w:rsidR="00207236" w:rsidRPr="00E23D30">
        <w:rPr>
          <w:rFonts w:cs="Times New Roman"/>
          <w:color w:val="000000"/>
          <w:szCs w:val="24"/>
        </w:rPr>
        <w:t>(PDP)</w:t>
      </w:r>
      <w:r w:rsidR="002E4561">
        <w:rPr>
          <w:rFonts w:cs="Times New Roman"/>
          <w:color w:val="000000"/>
          <w:szCs w:val="24"/>
        </w:rPr>
        <w:t xml:space="preserve"> </w:t>
      </w:r>
      <w:r w:rsidR="00AD495F">
        <w:rPr>
          <w:rFonts w:cs="Times New Roman"/>
          <w:color w:val="000000"/>
          <w:szCs w:val="24"/>
        </w:rPr>
        <w:t>(</w:t>
      </w:r>
      <w:r w:rsidR="0060069D">
        <w:t>Dumas</w:t>
      </w:r>
      <w:r w:rsidR="0060069D" w:rsidRPr="00E23D30">
        <w:rPr>
          <w:rFonts w:cs="Times New Roman"/>
          <w:color w:val="000000"/>
          <w:szCs w:val="24"/>
        </w:rPr>
        <w:t xml:space="preserve"> </w:t>
      </w:r>
      <w:r w:rsidR="008F334F" w:rsidRPr="00E23D30">
        <w:rPr>
          <w:rFonts w:cs="Times New Roman"/>
          <w:color w:val="000000"/>
          <w:szCs w:val="24"/>
        </w:rPr>
        <w:t>et al</w:t>
      </w:r>
      <w:r w:rsidR="00AD495F">
        <w:rPr>
          <w:rFonts w:cs="Times New Roman"/>
          <w:color w:val="000000"/>
          <w:szCs w:val="24"/>
        </w:rPr>
        <w:t>., 199</w:t>
      </w:r>
      <w:r w:rsidR="00F13593">
        <w:rPr>
          <w:rFonts w:cs="Times New Roman"/>
          <w:color w:val="000000"/>
          <w:szCs w:val="24"/>
        </w:rPr>
        <w:t>1</w:t>
      </w:r>
      <w:r w:rsidR="00E33219">
        <w:rPr>
          <w:rFonts w:cs="Times New Roman"/>
          <w:color w:val="000000"/>
          <w:szCs w:val="24"/>
        </w:rPr>
        <w:t>;</w:t>
      </w:r>
      <w:r w:rsidR="008F334F" w:rsidRPr="00E23D30">
        <w:rPr>
          <w:rFonts w:cs="Times New Roman"/>
          <w:color w:val="000000"/>
          <w:szCs w:val="24"/>
        </w:rPr>
        <w:t xml:space="preserve"> </w:t>
      </w:r>
      <w:bookmarkStart w:id="66" w:name="OLE_LINK179"/>
      <w:bookmarkStart w:id="67" w:name="OLE_LINK181"/>
      <w:bookmarkStart w:id="68" w:name="OLE_LINK194"/>
      <w:proofErr w:type="spellStart"/>
      <w:r w:rsidR="008F334F" w:rsidRPr="00E23D30">
        <w:rPr>
          <w:rFonts w:cs="Times New Roman"/>
          <w:color w:val="000000"/>
          <w:szCs w:val="24"/>
        </w:rPr>
        <w:t>Savelsbergh</w:t>
      </w:r>
      <w:proofErr w:type="spellEnd"/>
      <w:r w:rsidR="008F334F" w:rsidRPr="00E23D30">
        <w:rPr>
          <w:rFonts w:cs="Times New Roman"/>
          <w:color w:val="000000"/>
          <w:szCs w:val="24"/>
        </w:rPr>
        <w:t xml:space="preserve"> and Sol</w:t>
      </w:r>
      <w:r w:rsidR="00AD495F">
        <w:rPr>
          <w:rFonts w:cs="Times New Roman"/>
          <w:color w:val="000000"/>
          <w:szCs w:val="24"/>
        </w:rPr>
        <w:t>, 1995</w:t>
      </w:r>
      <w:bookmarkEnd w:id="66"/>
      <w:bookmarkEnd w:id="67"/>
      <w:bookmarkEnd w:id="68"/>
      <w:r w:rsidR="00AD495F">
        <w:rPr>
          <w:rFonts w:cs="Times New Roman"/>
          <w:color w:val="000000"/>
          <w:szCs w:val="24"/>
        </w:rPr>
        <w:t>)</w:t>
      </w:r>
      <w:r w:rsidR="00327881" w:rsidRPr="0090649E">
        <w:rPr>
          <w:rFonts w:cs="Times New Roman"/>
          <w:color w:val="000000"/>
          <w:szCs w:val="24"/>
        </w:rPr>
        <w:t>.</w:t>
      </w:r>
      <w:r w:rsidR="00F0141F">
        <w:rPr>
          <w:rFonts w:cs="Times New Roman"/>
          <w:color w:val="000000"/>
          <w:szCs w:val="24"/>
        </w:rPr>
        <w:t xml:space="preserve"> </w:t>
      </w:r>
      <w:r w:rsidR="004118BB" w:rsidRPr="0090649E">
        <w:rPr>
          <w:rFonts w:cs="Times New Roman"/>
          <w:color w:val="000000"/>
          <w:szCs w:val="24"/>
        </w:rPr>
        <w:t xml:space="preserve">Numerous </w:t>
      </w:r>
      <w:r w:rsidR="00AF01E7">
        <w:rPr>
          <w:rFonts w:cs="Times New Roman"/>
          <w:color w:val="000000"/>
          <w:szCs w:val="24"/>
        </w:rPr>
        <w:t>papers</w:t>
      </w:r>
      <w:r w:rsidR="00327881" w:rsidRPr="0090649E">
        <w:rPr>
          <w:rFonts w:cs="Times New Roman"/>
          <w:color w:val="000000"/>
          <w:szCs w:val="24"/>
        </w:rPr>
        <w:t xml:space="preserve"> related to the PDP</w:t>
      </w:r>
      <w:r w:rsidR="002E4561">
        <w:rPr>
          <w:rFonts w:cs="Times New Roman"/>
          <w:color w:val="000000"/>
          <w:szCs w:val="24"/>
        </w:rPr>
        <w:t xml:space="preserve"> </w:t>
      </w:r>
      <w:r w:rsidR="00246885" w:rsidRPr="0090649E">
        <w:rPr>
          <w:rFonts w:cs="Times New Roman"/>
          <w:color w:val="000000"/>
          <w:szCs w:val="24"/>
        </w:rPr>
        <w:t xml:space="preserve">can be found in the literature. </w:t>
      </w:r>
      <w:r w:rsidR="00A73303" w:rsidRPr="0090649E">
        <w:rPr>
          <w:rFonts w:cs="Times New Roman"/>
          <w:color w:val="000000"/>
          <w:szCs w:val="24"/>
        </w:rPr>
        <w:t xml:space="preserve">For an extensive review of </w:t>
      </w:r>
      <w:r w:rsidR="007F60CC" w:rsidRPr="0090649E">
        <w:rPr>
          <w:rFonts w:cs="Times New Roman"/>
          <w:color w:val="000000"/>
          <w:szCs w:val="24"/>
        </w:rPr>
        <w:t>PDP</w:t>
      </w:r>
      <w:r w:rsidR="002E4561">
        <w:rPr>
          <w:rFonts w:cs="Times New Roman"/>
          <w:color w:val="000000"/>
          <w:szCs w:val="24"/>
        </w:rPr>
        <w:t xml:space="preserve"> </w:t>
      </w:r>
      <w:r w:rsidR="007F60CC" w:rsidRPr="0090649E">
        <w:rPr>
          <w:rFonts w:cs="Times New Roman"/>
          <w:color w:val="000000"/>
          <w:szCs w:val="24"/>
        </w:rPr>
        <w:t>variants and solution methods</w:t>
      </w:r>
      <w:r w:rsidR="00A73303" w:rsidRPr="0090649E">
        <w:rPr>
          <w:rFonts w:cs="Times New Roman"/>
          <w:color w:val="000000"/>
          <w:szCs w:val="24"/>
        </w:rPr>
        <w:t xml:space="preserve"> the reader is referred to </w:t>
      </w:r>
      <w:proofErr w:type="spellStart"/>
      <w:r w:rsidR="007F60CC" w:rsidRPr="0090649E">
        <w:rPr>
          <w:rFonts w:cs="Times New Roman"/>
          <w:color w:val="000000"/>
          <w:szCs w:val="24"/>
        </w:rPr>
        <w:t>Cordeau</w:t>
      </w:r>
      <w:proofErr w:type="spellEnd"/>
      <w:r w:rsidR="007F60CC" w:rsidRPr="0090649E">
        <w:rPr>
          <w:rFonts w:cs="Times New Roman"/>
          <w:color w:val="000000"/>
          <w:szCs w:val="24"/>
        </w:rPr>
        <w:t xml:space="preserve"> et al</w:t>
      </w:r>
      <w:r w:rsidR="00AD495F">
        <w:rPr>
          <w:rFonts w:cs="Times New Roman"/>
          <w:color w:val="000000"/>
          <w:szCs w:val="24"/>
        </w:rPr>
        <w:t xml:space="preserve">. </w:t>
      </w:r>
      <w:r w:rsidR="00EE42A7">
        <w:rPr>
          <w:rFonts w:cs="Times New Roman"/>
          <w:color w:val="000000"/>
          <w:szCs w:val="24"/>
        </w:rPr>
        <w:t>(</w:t>
      </w:r>
      <w:r w:rsidR="00AD495F">
        <w:rPr>
          <w:rFonts w:cs="Times New Roman"/>
          <w:color w:val="000000"/>
          <w:szCs w:val="24"/>
        </w:rPr>
        <w:t>2008</w:t>
      </w:r>
      <w:r w:rsidR="00EE42A7">
        <w:rPr>
          <w:rFonts w:cs="Times New Roman"/>
          <w:color w:val="000000"/>
          <w:szCs w:val="24"/>
        </w:rPr>
        <w:t xml:space="preserve">) and </w:t>
      </w:r>
      <w:proofErr w:type="spellStart"/>
      <w:r w:rsidR="00A73303" w:rsidRPr="0090649E">
        <w:rPr>
          <w:rFonts w:cs="Times New Roman"/>
          <w:color w:val="000000"/>
          <w:szCs w:val="24"/>
        </w:rPr>
        <w:t>Parragh</w:t>
      </w:r>
      <w:proofErr w:type="spellEnd"/>
      <w:r w:rsidR="00A73303" w:rsidRPr="0090649E">
        <w:rPr>
          <w:rFonts w:cs="Times New Roman"/>
          <w:color w:val="000000"/>
          <w:szCs w:val="24"/>
        </w:rPr>
        <w:t xml:space="preserve"> et al. </w:t>
      </w:r>
      <w:r w:rsidR="00EE42A7">
        <w:rPr>
          <w:rFonts w:cs="Times New Roman"/>
          <w:color w:val="000000"/>
          <w:szCs w:val="24"/>
        </w:rPr>
        <w:t>(2008)</w:t>
      </w:r>
      <w:r w:rsidR="00A73303" w:rsidRPr="0090649E">
        <w:rPr>
          <w:rFonts w:cs="Times New Roman"/>
          <w:color w:val="000000"/>
          <w:szCs w:val="24"/>
        </w:rPr>
        <w:t>.</w:t>
      </w:r>
      <w:bookmarkStart w:id="69" w:name="OLE_LINK16"/>
      <w:bookmarkStart w:id="70" w:name="OLE_LINK17"/>
      <w:bookmarkStart w:id="71" w:name="OLE_LINK18"/>
      <w:bookmarkStart w:id="72" w:name="OLE_LINK342"/>
      <w:bookmarkStart w:id="73" w:name="OLE_LINK346"/>
      <w:r w:rsidR="002E4561">
        <w:rPr>
          <w:rFonts w:cs="Times New Roman"/>
          <w:color w:val="000000"/>
          <w:szCs w:val="24"/>
        </w:rPr>
        <w:t xml:space="preserve"> </w:t>
      </w:r>
      <w:r w:rsidR="005436F9" w:rsidRPr="00E23D30">
        <w:rPr>
          <w:rFonts w:cs="Times New Roman"/>
          <w:color w:val="000000"/>
          <w:szCs w:val="24"/>
        </w:rPr>
        <w:t xml:space="preserve">A significant </w:t>
      </w:r>
      <w:r w:rsidR="00DF3597" w:rsidRPr="00E23D30">
        <w:rPr>
          <w:rFonts w:cs="Times New Roman"/>
          <w:color w:val="000000"/>
          <w:szCs w:val="24"/>
        </w:rPr>
        <w:t>part</w:t>
      </w:r>
      <w:r w:rsidR="005436F9" w:rsidRPr="00E23D30">
        <w:rPr>
          <w:rFonts w:cs="Times New Roman"/>
          <w:color w:val="000000"/>
          <w:szCs w:val="24"/>
        </w:rPr>
        <w:t xml:space="preserve"> of </w:t>
      </w:r>
      <w:r w:rsidR="00DF3597" w:rsidRPr="00E23D30">
        <w:rPr>
          <w:rFonts w:cs="Times New Roman"/>
          <w:color w:val="000000"/>
          <w:szCs w:val="24"/>
        </w:rPr>
        <w:t xml:space="preserve">the </w:t>
      </w:r>
      <w:r w:rsidR="005436F9" w:rsidRPr="00E23D30">
        <w:rPr>
          <w:rFonts w:cs="Times New Roman"/>
          <w:color w:val="000000"/>
          <w:szCs w:val="24"/>
        </w:rPr>
        <w:t xml:space="preserve">literature </w:t>
      </w:r>
      <w:r w:rsidR="00DF3597" w:rsidRPr="00E23D30">
        <w:rPr>
          <w:rFonts w:cs="Times New Roman"/>
          <w:color w:val="000000"/>
          <w:szCs w:val="24"/>
        </w:rPr>
        <w:t>on</w:t>
      </w:r>
      <w:r w:rsidR="00B64FFE" w:rsidRPr="00E23D30">
        <w:rPr>
          <w:rFonts w:cs="Times New Roman"/>
          <w:color w:val="000000"/>
          <w:szCs w:val="24"/>
        </w:rPr>
        <w:t xml:space="preserve"> the PDP </w:t>
      </w:r>
      <w:r w:rsidR="00EB0326">
        <w:rPr>
          <w:rFonts w:cs="Times New Roman"/>
          <w:color w:val="000000"/>
          <w:szCs w:val="24"/>
        </w:rPr>
        <w:t>considers</w:t>
      </w:r>
      <w:r w:rsidR="005436F9" w:rsidRPr="00E23D30">
        <w:rPr>
          <w:rFonts w:cs="Times New Roman"/>
          <w:color w:val="000000"/>
          <w:szCs w:val="24"/>
        </w:rPr>
        <w:t xml:space="preserve"> </w:t>
      </w:r>
      <w:r w:rsidR="007F60CC" w:rsidRPr="00E23D30">
        <w:rPr>
          <w:rFonts w:cs="Times New Roman"/>
          <w:color w:val="000000"/>
          <w:szCs w:val="24"/>
        </w:rPr>
        <w:t xml:space="preserve">time windows </w:t>
      </w:r>
      <w:r w:rsidR="00DF3597" w:rsidRPr="00E23D30">
        <w:rPr>
          <w:rFonts w:cs="Times New Roman"/>
          <w:color w:val="000000"/>
          <w:szCs w:val="24"/>
        </w:rPr>
        <w:t xml:space="preserve">constraints </w:t>
      </w:r>
      <w:r w:rsidR="00EB0326">
        <w:rPr>
          <w:rFonts w:cs="Times New Roman"/>
          <w:color w:val="000000"/>
          <w:szCs w:val="24"/>
        </w:rPr>
        <w:t>for</w:t>
      </w:r>
      <w:r w:rsidR="00DF3597" w:rsidRPr="00E23D30">
        <w:rPr>
          <w:rFonts w:cs="Times New Roman"/>
          <w:color w:val="000000"/>
          <w:szCs w:val="24"/>
        </w:rPr>
        <w:t xml:space="preserve"> the service of customers</w:t>
      </w:r>
      <w:bookmarkStart w:id="74" w:name="OLE_LINK759"/>
      <w:bookmarkStart w:id="75" w:name="OLE_LINK760"/>
      <w:r w:rsidR="00706001">
        <w:rPr>
          <w:rFonts w:cs="Times New Roman"/>
          <w:color w:val="000000"/>
          <w:szCs w:val="24"/>
        </w:rPr>
        <w:t xml:space="preserve">. </w:t>
      </w:r>
      <w:r w:rsidR="00453A8C">
        <w:rPr>
          <w:rFonts w:cs="Times New Roman"/>
          <w:color w:val="000000"/>
          <w:szCs w:val="24"/>
        </w:rPr>
        <w:t xml:space="preserve">This problem </w:t>
      </w:r>
      <w:r w:rsidR="00706001">
        <w:rPr>
          <w:rFonts w:cs="Times New Roman"/>
          <w:color w:val="000000"/>
          <w:szCs w:val="24"/>
        </w:rPr>
        <w:t xml:space="preserve">variant </w:t>
      </w:r>
      <w:r w:rsidR="00453A8C">
        <w:rPr>
          <w:rFonts w:cs="Times New Roman"/>
          <w:color w:val="000000"/>
          <w:szCs w:val="24"/>
        </w:rPr>
        <w:t>corresponds to the Pickup and Delivery Problem with Time Windows</w:t>
      </w:r>
      <w:r w:rsidR="002E4561">
        <w:rPr>
          <w:rFonts w:cs="Times New Roman"/>
          <w:color w:val="000000"/>
          <w:szCs w:val="24"/>
        </w:rPr>
        <w:t xml:space="preserve"> </w:t>
      </w:r>
      <w:r w:rsidR="007F60CC" w:rsidRPr="00E23D30">
        <w:rPr>
          <w:rFonts w:cs="Times New Roman"/>
          <w:color w:val="000000"/>
          <w:szCs w:val="24"/>
        </w:rPr>
        <w:t>(PDPTW)</w:t>
      </w:r>
      <w:bookmarkEnd w:id="69"/>
      <w:bookmarkEnd w:id="70"/>
      <w:bookmarkEnd w:id="71"/>
      <w:bookmarkEnd w:id="72"/>
      <w:bookmarkEnd w:id="73"/>
      <w:bookmarkEnd w:id="74"/>
      <w:bookmarkEnd w:id="75"/>
      <w:r w:rsidR="00B81996">
        <w:rPr>
          <w:rFonts w:cs="Times New Roman"/>
          <w:color w:val="000000"/>
          <w:szCs w:val="24"/>
        </w:rPr>
        <w:t xml:space="preserve">. </w:t>
      </w:r>
      <w:r w:rsidR="00303873" w:rsidRPr="00E23D30">
        <w:rPr>
          <w:rFonts w:cs="Times New Roman"/>
          <w:color w:val="000000"/>
          <w:szCs w:val="24"/>
        </w:rPr>
        <w:t>One of the earliest works</w:t>
      </w:r>
      <w:r w:rsidR="002E4561">
        <w:rPr>
          <w:rFonts w:cs="Times New Roman"/>
          <w:color w:val="000000"/>
          <w:szCs w:val="24"/>
        </w:rPr>
        <w:t xml:space="preserve"> </w:t>
      </w:r>
      <w:r w:rsidR="009C407E" w:rsidRPr="00E23D30">
        <w:rPr>
          <w:rFonts w:cs="Times New Roman"/>
          <w:color w:val="000000"/>
          <w:szCs w:val="24"/>
        </w:rPr>
        <w:t>on</w:t>
      </w:r>
      <w:r w:rsidR="003B7647" w:rsidRPr="00E23D30">
        <w:rPr>
          <w:rFonts w:cs="Times New Roman"/>
          <w:color w:val="000000"/>
          <w:szCs w:val="24"/>
        </w:rPr>
        <w:t xml:space="preserve"> the PDPTW</w:t>
      </w:r>
      <w:r w:rsidR="00303873" w:rsidRPr="00E23D30">
        <w:rPr>
          <w:rFonts w:cs="Times New Roman"/>
          <w:color w:val="000000"/>
          <w:szCs w:val="24"/>
        </w:rPr>
        <w:t xml:space="preserve"> is </w:t>
      </w:r>
      <w:r w:rsidR="00DF3597" w:rsidRPr="00E23D30">
        <w:rPr>
          <w:rFonts w:cs="Times New Roman"/>
          <w:color w:val="000000"/>
          <w:szCs w:val="24"/>
        </w:rPr>
        <w:t>due to</w:t>
      </w:r>
      <w:r w:rsidR="00D37330" w:rsidRPr="00E23D30">
        <w:rPr>
          <w:rFonts w:cs="Times New Roman"/>
          <w:color w:val="000000"/>
          <w:szCs w:val="24"/>
        </w:rPr>
        <w:t xml:space="preserve"> </w:t>
      </w:r>
      <w:proofErr w:type="spellStart"/>
      <w:r w:rsidR="00D37330" w:rsidRPr="00E23D30">
        <w:rPr>
          <w:rFonts w:cs="Times New Roman"/>
          <w:color w:val="000000"/>
          <w:szCs w:val="24"/>
        </w:rPr>
        <w:t>Nanry</w:t>
      </w:r>
      <w:proofErr w:type="spellEnd"/>
      <w:r w:rsidR="00D37330" w:rsidRPr="00E23D30">
        <w:rPr>
          <w:rFonts w:cs="Times New Roman"/>
          <w:color w:val="000000"/>
          <w:szCs w:val="24"/>
        </w:rPr>
        <w:t xml:space="preserve"> and Barnes </w:t>
      </w:r>
      <w:r w:rsidR="00EE42A7">
        <w:rPr>
          <w:rFonts w:cs="Times New Roman"/>
          <w:color w:val="000000"/>
          <w:szCs w:val="24"/>
        </w:rPr>
        <w:t>(</w:t>
      </w:r>
      <w:r w:rsidR="005436F9" w:rsidRPr="00E23D30">
        <w:rPr>
          <w:rFonts w:cs="Times New Roman"/>
          <w:color w:val="000000"/>
          <w:szCs w:val="24"/>
        </w:rPr>
        <w:t>2000</w:t>
      </w:r>
      <w:r w:rsidR="00EE42A7">
        <w:rPr>
          <w:rFonts w:cs="Times New Roman"/>
          <w:color w:val="000000"/>
          <w:szCs w:val="24"/>
        </w:rPr>
        <w:t>)</w:t>
      </w:r>
      <w:r w:rsidR="006376F7" w:rsidRPr="00E23D30">
        <w:rPr>
          <w:rFonts w:cs="Times New Roman"/>
          <w:color w:val="000000"/>
          <w:szCs w:val="24"/>
        </w:rPr>
        <w:t xml:space="preserve"> </w:t>
      </w:r>
      <w:r w:rsidR="00EB0326">
        <w:rPr>
          <w:rFonts w:cs="Times New Roman"/>
          <w:color w:val="000000"/>
          <w:szCs w:val="24"/>
        </w:rPr>
        <w:t xml:space="preserve">and </w:t>
      </w:r>
      <w:bookmarkStart w:id="76" w:name="OLE_LINK42"/>
      <w:bookmarkStart w:id="77" w:name="OLE_LINK43"/>
      <w:r w:rsidR="00DD1F17" w:rsidRPr="00DD1F17">
        <w:rPr>
          <w:rFonts w:cs="Times New Roman"/>
          <w:color w:val="000000"/>
          <w:szCs w:val="24"/>
        </w:rPr>
        <w:t xml:space="preserve">a </w:t>
      </w:r>
      <w:r w:rsidR="00EB0326">
        <w:rPr>
          <w:rFonts w:cs="Times New Roman"/>
          <w:color w:val="000000"/>
          <w:szCs w:val="24"/>
        </w:rPr>
        <w:t xml:space="preserve">so-called </w:t>
      </w:r>
      <w:r w:rsidR="00DD1F17" w:rsidRPr="00DD1F17">
        <w:rPr>
          <w:rFonts w:cs="Times New Roman"/>
          <w:color w:val="000000"/>
          <w:szCs w:val="24"/>
        </w:rPr>
        <w:t xml:space="preserve">Reactive Tabu Search </w:t>
      </w:r>
      <w:r w:rsidR="00EB0326">
        <w:rPr>
          <w:rFonts w:cs="Times New Roman"/>
          <w:color w:val="000000"/>
          <w:szCs w:val="24"/>
        </w:rPr>
        <w:t>is proposed</w:t>
      </w:r>
      <w:r w:rsidR="00DD1F17" w:rsidRPr="00DD1F17">
        <w:rPr>
          <w:rFonts w:cs="Times New Roman"/>
          <w:color w:val="000000"/>
          <w:szCs w:val="24"/>
        </w:rPr>
        <w:t xml:space="preserve">. </w:t>
      </w:r>
      <w:r w:rsidR="003C2005" w:rsidRPr="00E23D30">
        <w:rPr>
          <w:rFonts w:cs="Times New Roman"/>
          <w:color w:val="000000"/>
          <w:szCs w:val="24"/>
        </w:rPr>
        <w:t>Li and Lim</w:t>
      </w:r>
      <w:r w:rsidR="002E4561">
        <w:rPr>
          <w:rFonts w:cs="Times New Roman"/>
          <w:color w:val="000000"/>
          <w:szCs w:val="24"/>
        </w:rPr>
        <w:t xml:space="preserve"> (</w:t>
      </w:r>
      <w:r w:rsidR="00EE42A7">
        <w:rPr>
          <w:rFonts w:cs="Times New Roman"/>
          <w:color w:val="000000"/>
          <w:szCs w:val="24"/>
        </w:rPr>
        <w:t>2001)</w:t>
      </w:r>
      <w:r w:rsidR="002E4561">
        <w:rPr>
          <w:rFonts w:cs="Times New Roman"/>
          <w:color w:val="000000"/>
          <w:szCs w:val="24"/>
        </w:rPr>
        <w:t xml:space="preserve"> </w:t>
      </w:r>
      <w:r w:rsidR="000127BD">
        <w:rPr>
          <w:rFonts w:cs="Times New Roman"/>
          <w:color w:val="000000"/>
          <w:szCs w:val="24"/>
        </w:rPr>
        <w:t>deal</w:t>
      </w:r>
      <w:r w:rsidR="007A59EF">
        <w:rPr>
          <w:rFonts w:cs="Times New Roman"/>
          <w:color w:val="000000"/>
          <w:szCs w:val="24"/>
        </w:rPr>
        <w:t xml:space="preserve"> with the </w:t>
      </w:r>
      <w:r w:rsidR="007A59EF" w:rsidRPr="00E23D30">
        <w:rPr>
          <w:rFonts w:cs="Times New Roman"/>
          <w:color w:val="000000"/>
          <w:szCs w:val="24"/>
        </w:rPr>
        <w:t>PDPTW</w:t>
      </w:r>
      <w:r w:rsidR="007A59EF">
        <w:rPr>
          <w:rFonts w:cs="Times New Roman"/>
          <w:color w:val="000000"/>
          <w:szCs w:val="24"/>
        </w:rPr>
        <w:t xml:space="preserve"> </w:t>
      </w:r>
      <w:r w:rsidR="00EB0326">
        <w:rPr>
          <w:rFonts w:cs="Times New Roman"/>
          <w:color w:val="000000"/>
          <w:szCs w:val="24"/>
        </w:rPr>
        <w:t>and developed</w:t>
      </w:r>
      <w:r w:rsidR="007A59EF">
        <w:rPr>
          <w:rFonts w:cs="Times New Roman"/>
          <w:color w:val="000000"/>
          <w:szCs w:val="24"/>
        </w:rPr>
        <w:t xml:space="preserve"> a</w:t>
      </w:r>
      <w:r w:rsidR="00DF3597" w:rsidRPr="00E23D30">
        <w:rPr>
          <w:rFonts w:cs="Times New Roman"/>
          <w:color w:val="000000"/>
          <w:szCs w:val="24"/>
        </w:rPr>
        <w:t xml:space="preserve"> hybrid metaheuristic </w:t>
      </w:r>
      <w:r w:rsidR="00A45513" w:rsidRPr="00E23D30">
        <w:rPr>
          <w:rFonts w:cs="Times New Roman"/>
          <w:color w:val="000000"/>
          <w:szCs w:val="24"/>
        </w:rPr>
        <w:t>combin</w:t>
      </w:r>
      <w:r w:rsidR="00DF3597" w:rsidRPr="00E23D30">
        <w:rPr>
          <w:rFonts w:cs="Times New Roman"/>
          <w:color w:val="000000"/>
          <w:szCs w:val="24"/>
        </w:rPr>
        <w:t xml:space="preserve">ing </w:t>
      </w:r>
      <w:r w:rsidR="00A45513" w:rsidRPr="00E23D30">
        <w:rPr>
          <w:rFonts w:cs="Times New Roman"/>
          <w:color w:val="000000"/>
          <w:szCs w:val="24"/>
        </w:rPr>
        <w:t>Simul</w:t>
      </w:r>
      <w:r w:rsidR="009331BF" w:rsidRPr="00E23D30">
        <w:rPr>
          <w:rFonts w:cs="Times New Roman"/>
          <w:color w:val="000000"/>
          <w:szCs w:val="24"/>
        </w:rPr>
        <w:t>ated Annealing and Tabu Search</w:t>
      </w:r>
      <w:r w:rsidR="008E350B" w:rsidRPr="00E23D30">
        <w:rPr>
          <w:rFonts w:cs="Times New Roman"/>
          <w:color w:val="000000"/>
          <w:szCs w:val="24"/>
        </w:rPr>
        <w:t xml:space="preserve">. </w:t>
      </w:r>
      <w:r w:rsidR="00EB0326">
        <w:rPr>
          <w:rFonts w:cs="Times New Roman"/>
          <w:color w:val="000000"/>
          <w:szCs w:val="24"/>
        </w:rPr>
        <w:t>Other</w:t>
      </w:r>
      <w:r w:rsidR="00F754AB" w:rsidRPr="00E23D30">
        <w:rPr>
          <w:rFonts w:cs="Times New Roman"/>
          <w:color w:val="000000"/>
          <w:szCs w:val="24"/>
        </w:rPr>
        <w:t xml:space="preserve"> </w:t>
      </w:r>
      <w:r w:rsidR="00015583" w:rsidRPr="00E23D30">
        <w:rPr>
          <w:rFonts w:cs="Times New Roman"/>
          <w:color w:val="000000"/>
          <w:szCs w:val="24"/>
        </w:rPr>
        <w:t>metaheuristic approaches have been</w:t>
      </w:r>
      <w:r w:rsidR="00EB25D9">
        <w:rPr>
          <w:rFonts w:cs="Times New Roman"/>
          <w:color w:val="000000"/>
          <w:szCs w:val="24"/>
        </w:rPr>
        <w:t xml:space="preserve"> later</w:t>
      </w:r>
      <w:r w:rsidR="00015583" w:rsidRPr="00E23D30">
        <w:rPr>
          <w:rFonts w:cs="Times New Roman"/>
          <w:color w:val="000000"/>
          <w:szCs w:val="24"/>
        </w:rPr>
        <w:t xml:space="preserve"> developed for </w:t>
      </w:r>
      <w:r w:rsidR="00EB25D9">
        <w:rPr>
          <w:rFonts w:cs="Times New Roman"/>
          <w:color w:val="000000"/>
          <w:szCs w:val="24"/>
        </w:rPr>
        <w:t xml:space="preserve">solving </w:t>
      </w:r>
      <w:r w:rsidR="00021868" w:rsidRPr="00E23D30">
        <w:rPr>
          <w:rFonts w:cs="Times New Roman"/>
          <w:color w:val="000000"/>
          <w:szCs w:val="24"/>
        </w:rPr>
        <w:t xml:space="preserve">the PDPTW </w:t>
      </w:r>
      <w:r w:rsidR="00EB0326">
        <w:rPr>
          <w:rFonts w:cs="Times New Roman"/>
          <w:color w:val="000000"/>
          <w:szCs w:val="24"/>
        </w:rPr>
        <w:t xml:space="preserve">by </w:t>
      </w:r>
      <w:r w:rsidR="00015583" w:rsidRPr="00E23D30">
        <w:rPr>
          <w:rFonts w:cs="Times New Roman"/>
          <w:color w:val="000000"/>
          <w:szCs w:val="24"/>
        </w:rPr>
        <w:t xml:space="preserve">Bent </w:t>
      </w:r>
      <w:r w:rsidR="00E33219">
        <w:rPr>
          <w:rFonts w:eastAsia="Calibri" w:cs="Times New Roman"/>
        </w:rPr>
        <w:t xml:space="preserve">and </w:t>
      </w:r>
      <w:r w:rsidR="009C727E">
        <w:rPr>
          <w:rFonts w:eastAsia="Calibri" w:cs="Times New Roman"/>
        </w:rPr>
        <w:t xml:space="preserve">Van </w:t>
      </w:r>
      <w:proofErr w:type="spellStart"/>
      <w:r w:rsidR="00E33219" w:rsidRPr="00392B10">
        <w:rPr>
          <w:rFonts w:eastAsia="Calibri" w:cs="Times New Roman"/>
        </w:rPr>
        <w:t>Hentenryck</w:t>
      </w:r>
      <w:proofErr w:type="spellEnd"/>
      <w:r w:rsidR="00E33219">
        <w:rPr>
          <w:rFonts w:cs="Times New Roman"/>
          <w:color w:val="000000"/>
          <w:szCs w:val="24"/>
        </w:rPr>
        <w:t xml:space="preserve"> </w:t>
      </w:r>
      <w:r w:rsidR="00EE42A7">
        <w:rPr>
          <w:rFonts w:cs="Times New Roman"/>
          <w:color w:val="000000"/>
          <w:szCs w:val="24"/>
        </w:rPr>
        <w:t>(2006)</w:t>
      </w:r>
      <w:r w:rsidR="00015583" w:rsidRPr="00E23D30">
        <w:rPr>
          <w:rFonts w:cs="Times New Roman"/>
          <w:color w:val="000000"/>
          <w:szCs w:val="24"/>
        </w:rPr>
        <w:t>,</w:t>
      </w:r>
      <w:r w:rsidR="006D2042" w:rsidRPr="00E23D30">
        <w:rPr>
          <w:rFonts w:cs="Times New Roman"/>
          <w:color w:val="000000"/>
          <w:szCs w:val="24"/>
        </w:rPr>
        <w:t xml:space="preserve"> </w:t>
      </w:r>
      <w:proofErr w:type="spellStart"/>
      <w:r w:rsidR="006D2042" w:rsidRPr="00E23D30">
        <w:rPr>
          <w:rFonts w:cs="Times New Roman"/>
          <w:color w:val="000000"/>
          <w:szCs w:val="24"/>
        </w:rPr>
        <w:t>Ropke</w:t>
      </w:r>
      <w:proofErr w:type="spellEnd"/>
      <w:r w:rsidR="006D2042" w:rsidRPr="00E23D30">
        <w:rPr>
          <w:rFonts w:cs="Times New Roman"/>
          <w:color w:val="000000"/>
          <w:szCs w:val="24"/>
        </w:rPr>
        <w:t xml:space="preserve"> and </w:t>
      </w:r>
      <w:proofErr w:type="spellStart"/>
      <w:r w:rsidR="006D2042" w:rsidRPr="00E23D30">
        <w:rPr>
          <w:rFonts w:cs="Times New Roman"/>
          <w:color w:val="000000"/>
          <w:szCs w:val="24"/>
        </w:rPr>
        <w:t>Pisinger</w:t>
      </w:r>
      <w:proofErr w:type="spellEnd"/>
      <w:r w:rsidR="00EE42A7">
        <w:rPr>
          <w:rFonts w:cs="Times New Roman"/>
          <w:color w:val="000000"/>
          <w:szCs w:val="24"/>
        </w:rPr>
        <w:t>, (2006)</w:t>
      </w:r>
      <w:r w:rsidR="006D2042" w:rsidRPr="00E23D30">
        <w:rPr>
          <w:rFonts w:cs="Times New Roman"/>
          <w:color w:val="000000"/>
          <w:szCs w:val="24"/>
        </w:rPr>
        <w:t xml:space="preserve">, </w:t>
      </w:r>
      <w:r w:rsidR="00EB0326">
        <w:rPr>
          <w:rFonts w:cs="Times New Roman"/>
          <w:color w:val="000000"/>
          <w:szCs w:val="24"/>
        </w:rPr>
        <w:t xml:space="preserve">and </w:t>
      </w:r>
      <w:r w:rsidR="00015583" w:rsidRPr="00E23D30">
        <w:rPr>
          <w:rFonts w:cs="Times New Roman"/>
          <w:color w:val="000000"/>
          <w:szCs w:val="24"/>
        </w:rPr>
        <w:t>Nagata and Kobayashi</w:t>
      </w:r>
      <w:r w:rsidR="00EE42A7">
        <w:rPr>
          <w:rFonts w:cs="Times New Roman"/>
          <w:color w:val="000000"/>
          <w:szCs w:val="24"/>
        </w:rPr>
        <w:t xml:space="preserve"> (2010)</w:t>
      </w:r>
      <w:r w:rsidR="00015583" w:rsidRPr="00E23D30">
        <w:rPr>
          <w:rFonts w:cs="Times New Roman"/>
          <w:color w:val="000000"/>
          <w:szCs w:val="24"/>
        </w:rPr>
        <w:t>.</w:t>
      </w:r>
      <w:r w:rsidR="00B81996">
        <w:rPr>
          <w:rFonts w:cs="Times New Roman"/>
          <w:color w:val="000000"/>
          <w:szCs w:val="24"/>
        </w:rPr>
        <w:t xml:space="preserve"> </w:t>
      </w:r>
      <w:r w:rsidR="007478A8">
        <w:rPr>
          <w:rFonts w:cs="Times New Roman"/>
          <w:color w:val="000000"/>
          <w:szCs w:val="24"/>
        </w:rPr>
        <w:t>All of the</w:t>
      </w:r>
      <w:r w:rsidR="00E23D30" w:rsidRPr="00E23D30">
        <w:rPr>
          <w:rFonts w:cs="Times New Roman"/>
          <w:color w:val="000000"/>
          <w:szCs w:val="24"/>
        </w:rPr>
        <w:t xml:space="preserve"> aforementioned </w:t>
      </w:r>
      <w:r w:rsidR="0033178E" w:rsidRPr="00E23D30">
        <w:rPr>
          <w:rFonts w:cs="Times New Roman"/>
          <w:color w:val="000000"/>
          <w:szCs w:val="24"/>
        </w:rPr>
        <w:t>works</w:t>
      </w:r>
      <w:r w:rsidR="002E4561">
        <w:rPr>
          <w:rFonts w:cs="Times New Roman"/>
          <w:color w:val="000000"/>
          <w:szCs w:val="24"/>
        </w:rPr>
        <w:t xml:space="preserve"> </w:t>
      </w:r>
      <w:r w:rsidR="009331BF" w:rsidRPr="00E23D30">
        <w:rPr>
          <w:rFonts w:cs="Times New Roman"/>
          <w:color w:val="000000"/>
          <w:szCs w:val="24"/>
        </w:rPr>
        <w:t>consider</w:t>
      </w:r>
      <w:r w:rsidR="00B01ABF" w:rsidRPr="00E23D30">
        <w:rPr>
          <w:rFonts w:cs="Times New Roman"/>
          <w:color w:val="000000"/>
          <w:szCs w:val="24"/>
        </w:rPr>
        <w:t xml:space="preserve"> a </w:t>
      </w:r>
      <w:bookmarkStart w:id="78" w:name="OLE_LINK579"/>
      <w:bookmarkStart w:id="79" w:name="OLE_LINK580"/>
      <w:bookmarkStart w:id="80" w:name="OLE_LINK581"/>
      <w:r w:rsidR="00A45513" w:rsidRPr="00E23D30">
        <w:rPr>
          <w:rFonts w:cs="Times New Roman"/>
          <w:color w:val="000000"/>
          <w:szCs w:val="24"/>
        </w:rPr>
        <w:t>hierarchical</w:t>
      </w:r>
      <w:r w:rsidR="00B01ABF" w:rsidRPr="00E23D30">
        <w:rPr>
          <w:rFonts w:cs="Times New Roman"/>
          <w:color w:val="000000"/>
          <w:szCs w:val="24"/>
        </w:rPr>
        <w:t xml:space="preserve"> objective</w:t>
      </w:r>
      <w:r w:rsidR="002E4561">
        <w:rPr>
          <w:rFonts w:cs="Times New Roman"/>
          <w:color w:val="000000"/>
          <w:szCs w:val="24"/>
        </w:rPr>
        <w:t xml:space="preserve"> </w:t>
      </w:r>
      <w:r w:rsidR="00EB0326">
        <w:rPr>
          <w:rFonts w:cs="Times New Roman"/>
          <w:color w:val="000000"/>
          <w:szCs w:val="24"/>
        </w:rPr>
        <w:t>that</w:t>
      </w:r>
      <w:r w:rsidR="0016286D" w:rsidRPr="00E23D30">
        <w:rPr>
          <w:rFonts w:cs="Times New Roman"/>
          <w:color w:val="000000"/>
          <w:szCs w:val="24"/>
        </w:rPr>
        <w:t xml:space="preserve"> </w:t>
      </w:r>
      <w:bookmarkEnd w:id="78"/>
      <w:bookmarkEnd w:id="79"/>
      <w:bookmarkEnd w:id="80"/>
      <w:r w:rsidR="0016286D" w:rsidRPr="00E23D30">
        <w:rPr>
          <w:rFonts w:cs="Times New Roman"/>
          <w:color w:val="000000"/>
          <w:szCs w:val="24"/>
        </w:rPr>
        <w:t xml:space="preserve">primarily </w:t>
      </w:r>
      <w:bookmarkStart w:id="81" w:name="OLE_LINK469"/>
      <w:bookmarkStart w:id="82" w:name="OLE_LINK470"/>
      <w:bookmarkStart w:id="83" w:name="OLE_LINK491"/>
      <w:r w:rsidR="0016286D" w:rsidRPr="00E23D30">
        <w:rPr>
          <w:rFonts w:cs="Times New Roman"/>
          <w:color w:val="000000"/>
          <w:szCs w:val="24"/>
        </w:rPr>
        <w:t xml:space="preserve">minimizes </w:t>
      </w:r>
      <w:bookmarkEnd w:id="81"/>
      <w:bookmarkEnd w:id="82"/>
      <w:bookmarkEnd w:id="83"/>
      <w:r w:rsidR="00A45513" w:rsidRPr="00E23D30">
        <w:rPr>
          <w:rFonts w:cs="Times New Roman"/>
          <w:color w:val="000000"/>
          <w:szCs w:val="24"/>
        </w:rPr>
        <w:t xml:space="preserve">the number of routes and </w:t>
      </w:r>
      <w:r w:rsidR="0016286D" w:rsidRPr="00E23D30">
        <w:rPr>
          <w:rFonts w:cs="Times New Roman"/>
          <w:color w:val="000000"/>
          <w:szCs w:val="24"/>
        </w:rPr>
        <w:t xml:space="preserve">secondarily minimizes </w:t>
      </w:r>
      <w:r w:rsidR="00A45513" w:rsidRPr="00E23D30">
        <w:rPr>
          <w:rFonts w:cs="Times New Roman"/>
          <w:color w:val="000000"/>
          <w:szCs w:val="24"/>
        </w:rPr>
        <w:t>the total travel distance</w:t>
      </w:r>
      <w:r w:rsidR="00B01ABF" w:rsidRPr="00E23D30">
        <w:rPr>
          <w:rFonts w:cs="Times New Roman"/>
          <w:color w:val="000000"/>
          <w:szCs w:val="24"/>
        </w:rPr>
        <w:t>.</w:t>
      </w:r>
      <w:bookmarkEnd w:id="76"/>
      <w:bookmarkEnd w:id="77"/>
    </w:p>
    <w:p w:rsidR="009B7335" w:rsidRDefault="006E5650" w:rsidP="00F86EE1">
      <w:pPr>
        <w:autoSpaceDE w:val="0"/>
        <w:autoSpaceDN w:val="0"/>
        <w:adjustRightInd w:val="0"/>
        <w:spacing w:after="0"/>
        <w:ind w:firstLine="720"/>
        <w:jc w:val="both"/>
        <w:rPr>
          <w:rFonts w:cs="Times New Roman"/>
          <w:szCs w:val="24"/>
        </w:rPr>
      </w:pPr>
      <w:r>
        <w:rPr>
          <w:rFonts w:cs="Times New Roman"/>
          <w:szCs w:val="24"/>
        </w:rPr>
        <w:t xml:space="preserve">The second </w:t>
      </w:r>
      <w:r w:rsidR="00706001">
        <w:rPr>
          <w:rFonts w:cs="Times New Roman"/>
          <w:szCs w:val="24"/>
        </w:rPr>
        <w:t>group</w:t>
      </w:r>
      <w:r>
        <w:rPr>
          <w:rFonts w:cs="Times New Roman"/>
          <w:szCs w:val="24"/>
        </w:rPr>
        <w:t xml:space="preserve"> </w:t>
      </w:r>
      <w:r w:rsidR="00EB0326">
        <w:rPr>
          <w:rFonts w:cs="Times New Roman"/>
          <w:szCs w:val="24"/>
        </w:rPr>
        <w:t>refers</w:t>
      </w:r>
      <w:r w:rsidR="002E4561">
        <w:rPr>
          <w:rFonts w:cs="Times New Roman"/>
          <w:szCs w:val="24"/>
        </w:rPr>
        <w:t xml:space="preserve"> </w:t>
      </w:r>
      <w:r w:rsidR="00EB0326">
        <w:rPr>
          <w:rFonts w:cs="Times New Roman"/>
          <w:szCs w:val="24"/>
        </w:rPr>
        <w:t xml:space="preserve">to </w:t>
      </w:r>
      <w:r w:rsidR="009B39DE" w:rsidRPr="0097398B">
        <w:rPr>
          <w:rFonts w:cs="Times New Roman"/>
          <w:color w:val="000000"/>
          <w:szCs w:val="24"/>
        </w:rPr>
        <w:t>problem</w:t>
      </w:r>
      <w:r w:rsidR="002E4561">
        <w:rPr>
          <w:rFonts w:cs="Times New Roman"/>
          <w:color w:val="000000"/>
          <w:szCs w:val="24"/>
        </w:rPr>
        <w:t xml:space="preserve"> </w:t>
      </w:r>
      <w:r w:rsidR="0012064D">
        <w:rPr>
          <w:rFonts w:cs="Times New Roman"/>
          <w:color w:val="000000"/>
          <w:szCs w:val="24"/>
        </w:rPr>
        <w:t>settings</w:t>
      </w:r>
      <w:r w:rsidR="002E4561">
        <w:rPr>
          <w:rFonts w:cs="Times New Roman"/>
          <w:color w:val="000000"/>
          <w:szCs w:val="24"/>
        </w:rPr>
        <w:t xml:space="preserve"> </w:t>
      </w:r>
      <w:r w:rsidR="00EB25D9">
        <w:rPr>
          <w:rFonts w:cs="Times New Roman"/>
          <w:color w:val="000000"/>
          <w:szCs w:val="24"/>
        </w:rPr>
        <w:t xml:space="preserve">where </w:t>
      </w:r>
      <w:r w:rsidR="00FA562D">
        <w:rPr>
          <w:rFonts w:cs="Times New Roman"/>
          <w:color w:val="000000"/>
          <w:szCs w:val="24"/>
        </w:rPr>
        <w:t xml:space="preserve">the distribution of </w:t>
      </w:r>
      <w:r w:rsidR="000B6542">
        <w:rPr>
          <w:rFonts w:cs="Times New Roman"/>
          <w:color w:val="000000"/>
          <w:szCs w:val="24"/>
        </w:rPr>
        <w:t>products</w:t>
      </w:r>
      <w:r w:rsidR="009B39DE" w:rsidRPr="0097398B">
        <w:rPr>
          <w:rFonts w:cs="Times New Roman"/>
          <w:color w:val="000000"/>
          <w:szCs w:val="24"/>
        </w:rPr>
        <w:t xml:space="preserve"> from a set of suppliers to a set of </w:t>
      </w:r>
      <w:r w:rsidR="00EE42A7">
        <w:rPr>
          <w:rFonts w:cs="Times New Roman"/>
          <w:color w:val="000000"/>
          <w:szCs w:val="24"/>
        </w:rPr>
        <w:t>customers</w:t>
      </w:r>
      <w:r w:rsidR="00FA562D">
        <w:rPr>
          <w:rFonts w:cs="Times New Roman"/>
          <w:szCs w:val="24"/>
        </w:rPr>
        <w:t xml:space="preserve"> takes place </w:t>
      </w:r>
      <w:r w:rsidR="00CB1480">
        <w:rPr>
          <w:rFonts w:cs="Times New Roman"/>
          <w:szCs w:val="24"/>
        </w:rPr>
        <w:t xml:space="preserve">via </w:t>
      </w:r>
      <w:bookmarkStart w:id="84" w:name="OLE_LINK492"/>
      <w:bookmarkStart w:id="85" w:name="OLE_LINK493"/>
      <w:bookmarkStart w:id="86" w:name="OLE_LINK497"/>
      <w:r w:rsidR="009B39DE">
        <w:rPr>
          <w:rFonts w:cs="Times New Roman"/>
          <w:szCs w:val="24"/>
        </w:rPr>
        <w:t xml:space="preserve">intermediate </w:t>
      </w:r>
      <w:bookmarkStart w:id="87" w:name="OLE_LINK188"/>
      <w:bookmarkStart w:id="88" w:name="OLE_LINK189"/>
      <w:bookmarkStart w:id="89" w:name="OLE_LINK190"/>
      <w:r w:rsidR="00CB1480">
        <w:rPr>
          <w:rFonts w:cs="Times New Roman"/>
          <w:szCs w:val="24"/>
        </w:rPr>
        <w:t>facilit</w:t>
      </w:r>
      <w:bookmarkEnd w:id="87"/>
      <w:bookmarkEnd w:id="88"/>
      <w:bookmarkEnd w:id="89"/>
      <w:r w:rsidR="009B39DE">
        <w:rPr>
          <w:rFonts w:cs="Times New Roman"/>
          <w:szCs w:val="24"/>
        </w:rPr>
        <w:t>ies</w:t>
      </w:r>
      <w:bookmarkEnd w:id="84"/>
      <w:bookmarkEnd w:id="85"/>
      <w:bookmarkEnd w:id="86"/>
      <w:r w:rsidR="00CB1480" w:rsidRPr="0097398B">
        <w:rPr>
          <w:rFonts w:cs="Times New Roman"/>
          <w:szCs w:val="24"/>
        </w:rPr>
        <w:t>.</w:t>
      </w:r>
      <w:r w:rsidR="002E4561">
        <w:rPr>
          <w:rFonts w:cs="Times New Roman"/>
          <w:szCs w:val="24"/>
        </w:rPr>
        <w:t xml:space="preserve"> </w:t>
      </w:r>
      <w:r w:rsidR="00DF6BC5">
        <w:rPr>
          <w:rFonts w:cs="Times New Roman"/>
          <w:szCs w:val="24"/>
        </w:rPr>
        <w:t>The</w:t>
      </w:r>
      <w:r w:rsidR="00EB0326">
        <w:rPr>
          <w:rFonts w:cs="Times New Roman"/>
          <w:szCs w:val="24"/>
        </w:rPr>
        <w:t xml:space="preserve">se </w:t>
      </w:r>
      <w:r w:rsidR="00DF6BC5">
        <w:rPr>
          <w:rFonts w:cs="Times New Roman"/>
          <w:szCs w:val="24"/>
        </w:rPr>
        <w:t xml:space="preserve">facilities </w:t>
      </w:r>
      <w:r w:rsidR="00EB0326">
        <w:rPr>
          <w:rFonts w:cs="Times New Roman"/>
          <w:szCs w:val="24"/>
        </w:rPr>
        <w:t xml:space="preserve">have stationary </w:t>
      </w:r>
      <w:r w:rsidR="00DF6BC5">
        <w:rPr>
          <w:rFonts w:cs="Times New Roman"/>
          <w:szCs w:val="24"/>
        </w:rPr>
        <w:t xml:space="preserve">predefined locations, </w:t>
      </w:r>
      <w:r w:rsidR="00EB0326">
        <w:rPr>
          <w:rFonts w:cs="Times New Roman"/>
          <w:szCs w:val="24"/>
        </w:rPr>
        <w:t xml:space="preserve">and they also referred </w:t>
      </w:r>
      <w:r w:rsidR="00DF6BC5">
        <w:rPr>
          <w:rFonts w:cs="Times New Roman"/>
          <w:szCs w:val="24"/>
        </w:rPr>
        <w:t xml:space="preserve">as </w:t>
      </w:r>
      <w:bookmarkStart w:id="90" w:name="OLE_LINK547"/>
      <w:bookmarkStart w:id="91" w:name="OLE_LINK548"/>
      <w:r w:rsidR="00DF6BC5" w:rsidRPr="00E277BB">
        <w:rPr>
          <w:rFonts w:cs="Times New Roman"/>
          <w:szCs w:val="24"/>
        </w:rPr>
        <w:t xml:space="preserve">transshipment </w:t>
      </w:r>
      <w:bookmarkEnd w:id="90"/>
      <w:bookmarkEnd w:id="91"/>
      <w:r w:rsidR="00DF6BC5">
        <w:rPr>
          <w:rFonts w:cs="Times New Roman"/>
          <w:szCs w:val="24"/>
        </w:rPr>
        <w:t xml:space="preserve">or transfer </w:t>
      </w:r>
      <w:r w:rsidR="00DF6BC5" w:rsidRPr="00E277BB">
        <w:rPr>
          <w:rFonts w:cs="Times New Roman"/>
          <w:szCs w:val="24"/>
        </w:rPr>
        <w:t>points</w:t>
      </w:r>
      <w:r w:rsidR="00DF6BC5">
        <w:rPr>
          <w:rFonts w:cs="Times New Roman"/>
          <w:szCs w:val="24"/>
        </w:rPr>
        <w:t xml:space="preserve">. </w:t>
      </w:r>
      <w:r w:rsidR="007A55A6" w:rsidRPr="0097398B">
        <w:rPr>
          <w:rFonts w:cs="Times New Roman"/>
          <w:szCs w:val="24"/>
        </w:rPr>
        <w:t xml:space="preserve">In this </w:t>
      </w:r>
      <w:r w:rsidR="007A55A6">
        <w:rPr>
          <w:rFonts w:cs="Times New Roman"/>
          <w:szCs w:val="24"/>
        </w:rPr>
        <w:t>type</w:t>
      </w:r>
      <w:r w:rsidR="007A55A6" w:rsidRPr="0097398B">
        <w:rPr>
          <w:rFonts w:cs="Times New Roman"/>
          <w:szCs w:val="24"/>
        </w:rPr>
        <w:t xml:space="preserve"> of problems, the constraint </w:t>
      </w:r>
      <w:r w:rsidR="007A55A6">
        <w:rPr>
          <w:rFonts w:cs="Times New Roman"/>
          <w:szCs w:val="24"/>
        </w:rPr>
        <w:t xml:space="preserve">ensuring </w:t>
      </w:r>
      <w:r w:rsidR="007A55A6" w:rsidRPr="0097398B">
        <w:rPr>
          <w:rFonts w:cs="Times New Roman"/>
          <w:szCs w:val="24"/>
        </w:rPr>
        <w:t xml:space="preserve">that the pickup and </w:t>
      </w:r>
      <w:r w:rsidR="007A55A6" w:rsidRPr="00394343">
        <w:rPr>
          <w:rFonts w:cs="Times New Roman"/>
          <w:szCs w:val="24"/>
        </w:rPr>
        <w:t xml:space="preserve">delivery points of a given request should be serviced </w:t>
      </w:r>
      <w:bookmarkStart w:id="92" w:name="OLE_LINK551"/>
      <w:bookmarkStart w:id="93" w:name="OLE_LINK552"/>
      <w:r w:rsidR="00706001">
        <w:rPr>
          <w:rFonts w:cs="Times New Roman"/>
          <w:szCs w:val="24"/>
        </w:rPr>
        <w:t>by</w:t>
      </w:r>
      <w:r w:rsidR="007A55A6" w:rsidRPr="00394343">
        <w:rPr>
          <w:rFonts w:cs="Times New Roman"/>
          <w:szCs w:val="24"/>
        </w:rPr>
        <w:t xml:space="preserve"> the same veh</w:t>
      </w:r>
      <w:bookmarkEnd w:id="92"/>
      <w:bookmarkEnd w:id="93"/>
      <w:r w:rsidR="007A55A6" w:rsidRPr="00394343">
        <w:rPr>
          <w:rFonts w:cs="Times New Roman"/>
          <w:szCs w:val="24"/>
        </w:rPr>
        <w:t>icle</w:t>
      </w:r>
      <w:r w:rsidR="00706001">
        <w:rPr>
          <w:rFonts w:cs="Times New Roman"/>
          <w:szCs w:val="24"/>
        </w:rPr>
        <w:t xml:space="preserve"> route</w:t>
      </w:r>
      <w:r w:rsidR="00124F1C">
        <w:rPr>
          <w:rFonts w:cs="Times New Roman"/>
          <w:szCs w:val="24"/>
        </w:rPr>
        <w:t>,</w:t>
      </w:r>
      <w:r w:rsidR="00F474B2">
        <w:rPr>
          <w:rFonts w:cs="Times New Roman"/>
          <w:szCs w:val="24"/>
        </w:rPr>
        <w:t xml:space="preserve"> does not </w:t>
      </w:r>
      <w:r w:rsidR="00213E2A">
        <w:rPr>
          <w:rFonts w:cs="Times New Roman"/>
          <w:szCs w:val="24"/>
        </w:rPr>
        <w:t xml:space="preserve">necessarily </w:t>
      </w:r>
      <w:r w:rsidR="00F474B2">
        <w:rPr>
          <w:rFonts w:cs="Times New Roman"/>
          <w:szCs w:val="24"/>
        </w:rPr>
        <w:t xml:space="preserve">hold. </w:t>
      </w:r>
      <w:r w:rsidR="00FF57E5">
        <w:rPr>
          <w:rFonts w:cs="Times New Roman"/>
          <w:szCs w:val="24"/>
        </w:rPr>
        <w:t xml:space="preserve">Depending on whether </w:t>
      </w:r>
      <w:r w:rsidR="00AE366E">
        <w:rPr>
          <w:rFonts w:cs="Times New Roman"/>
          <w:szCs w:val="24"/>
        </w:rPr>
        <w:t xml:space="preserve">the </w:t>
      </w:r>
      <w:r w:rsidR="00675DB5">
        <w:rPr>
          <w:rFonts w:cs="Times New Roman"/>
          <w:szCs w:val="24"/>
        </w:rPr>
        <w:t xml:space="preserve">transshipment </w:t>
      </w:r>
      <w:r w:rsidR="00F474B2">
        <w:rPr>
          <w:rFonts w:cs="Times New Roman"/>
          <w:szCs w:val="24"/>
        </w:rPr>
        <w:lastRenderedPageBreak/>
        <w:t xml:space="preserve">takes place </w:t>
      </w:r>
      <w:r w:rsidR="00213E2A">
        <w:rPr>
          <w:rFonts w:cs="Times New Roman"/>
          <w:szCs w:val="24"/>
        </w:rPr>
        <w:t>at a</w:t>
      </w:r>
      <w:r w:rsidR="00FF57E5">
        <w:rPr>
          <w:rFonts w:cs="Times New Roman"/>
          <w:szCs w:val="24"/>
        </w:rPr>
        <w:t xml:space="preserve"> </w:t>
      </w:r>
      <w:r w:rsidR="00E121D9">
        <w:rPr>
          <w:rFonts w:cs="Times New Roman"/>
          <w:szCs w:val="24"/>
        </w:rPr>
        <w:t>(</w:t>
      </w:r>
      <w:r w:rsidR="00FF57E5" w:rsidRPr="0097398B">
        <w:rPr>
          <w:rFonts w:cs="Times New Roman"/>
          <w:szCs w:val="24"/>
        </w:rPr>
        <w:t>cross</w:t>
      </w:r>
      <w:r w:rsidR="00860FF8">
        <w:rPr>
          <w:rFonts w:cs="Times New Roman"/>
          <w:szCs w:val="24"/>
        </w:rPr>
        <w:t>-</w:t>
      </w:r>
      <w:r w:rsidR="00EB0326">
        <w:rPr>
          <w:rFonts w:cs="Times New Roman"/>
          <w:szCs w:val="24"/>
        </w:rPr>
        <w:t>dock</w:t>
      </w:r>
      <w:r w:rsidR="00E121D9">
        <w:rPr>
          <w:rFonts w:cs="Times New Roman"/>
          <w:szCs w:val="24"/>
        </w:rPr>
        <w:t>)</w:t>
      </w:r>
      <w:r w:rsidR="00EB0326">
        <w:rPr>
          <w:rFonts w:cs="Times New Roman"/>
          <w:szCs w:val="24"/>
        </w:rPr>
        <w:t xml:space="preserve"> </w:t>
      </w:r>
      <w:r w:rsidR="009B7335">
        <w:rPr>
          <w:rFonts w:cs="Times New Roman"/>
          <w:szCs w:val="24"/>
        </w:rPr>
        <w:t xml:space="preserve">facility </w:t>
      </w:r>
      <w:r w:rsidR="00FF57E5">
        <w:rPr>
          <w:rFonts w:cs="Times New Roman"/>
          <w:szCs w:val="24"/>
        </w:rPr>
        <w:t xml:space="preserve">or </w:t>
      </w:r>
      <w:r w:rsidR="00213E2A">
        <w:rPr>
          <w:rFonts w:cs="Times New Roman"/>
          <w:szCs w:val="24"/>
        </w:rPr>
        <w:t xml:space="preserve">at </w:t>
      </w:r>
      <w:r w:rsidR="00E121D9">
        <w:rPr>
          <w:rFonts w:cs="Times New Roman"/>
          <w:szCs w:val="24"/>
        </w:rPr>
        <w:t>a customer location(s)</w:t>
      </w:r>
      <w:r w:rsidR="00FF57E5">
        <w:rPr>
          <w:rFonts w:cs="Times New Roman"/>
          <w:szCs w:val="24"/>
        </w:rPr>
        <w:t>, w</w:t>
      </w:r>
      <w:r w:rsidR="00E132FB">
        <w:rPr>
          <w:rFonts w:cs="Times New Roman"/>
          <w:szCs w:val="24"/>
        </w:rPr>
        <w:t xml:space="preserve">e </w:t>
      </w:r>
      <w:r w:rsidR="009B7335">
        <w:rPr>
          <w:rFonts w:cs="Times New Roman"/>
          <w:szCs w:val="24"/>
        </w:rPr>
        <w:t xml:space="preserve">distinguish </w:t>
      </w:r>
      <w:r w:rsidR="001A6842">
        <w:rPr>
          <w:rFonts w:cs="Times New Roman"/>
          <w:szCs w:val="24"/>
        </w:rPr>
        <w:t xml:space="preserve">between </w:t>
      </w:r>
      <w:r w:rsidR="006D2042">
        <w:rPr>
          <w:rFonts w:cs="Times New Roman"/>
          <w:szCs w:val="24"/>
        </w:rPr>
        <w:t>two</w:t>
      </w:r>
      <w:r w:rsidR="0012064D">
        <w:rPr>
          <w:rFonts w:cs="Times New Roman"/>
          <w:szCs w:val="24"/>
        </w:rPr>
        <w:t xml:space="preserve"> problem variants, i.e.,</w:t>
      </w:r>
      <w:r w:rsidR="002E4561">
        <w:rPr>
          <w:rFonts w:cs="Times New Roman"/>
          <w:szCs w:val="24"/>
        </w:rPr>
        <w:t xml:space="preserve"> </w:t>
      </w:r>
      <w:r w:rsidR="009B7335" w:rsidRPr="0097398B">
        <w:rPr>
          <w:rFonts w:cs="Times New Roman"/>
          <w:szCs w:val="24"/>
        </w:rPr>
        <w:t xml:space="preserve">the </w:t>
      </w:r>
      <w:r w:rsidR="00E121D9">
        <w:rPr>
          <w:rFonts w:cs="Times New Roman"/>
          <w:szCs w:val="24"/>
        </w:rPr>
        <w:t>V</w:t>
      </w:r>
      <w:r w:rsidR="00E121D9">
        <w:rPr>
          <w:szCs w:val="24"/>
        </w:rPr>
        <w:t>RPCD</w:t>
      </w:r>
      <w:r w:rsidR="000918A4">
        <w:rPr>
          <w:szCs w:val="24"/>
        </w:rPr>
        <w:t xml:space="preserve"> </w:t>
      </w:r>
      <w:r w:rsidR="0012064D">
        <w:rPr>
          <w:rFonts w:cs="Times New Roman"/>
          <w:szCs w:val="24"/>
        </w:rPr>
        <w:t>and</w:t>
      </w:r>
      <w:r w:rsidR="009B7335">
        <w:rPr>
          <w:rFonts w:cs="Times New Roman"/>
          <w:szCs w:val="24"/>
        </w:rPr>
        <w:t xml:space="preserve"> the PDP</w:t>
      </w:r>
      <w:r w:rsidR="009B7335" w:rsidRPr="0097398B">
        <w:rPr>
          <w:rFonts w:cs="Times New Roman"/>
          <w:szCs w:val="24"/>
        </w:rPr>
        <w:t xml:space="preserve"> with </w:t>
      </w:r>
      <w:r w:rsidR="00604857">
        <w:rPr>
          <w:rFonts w:cs="Times New Roman"/>
          <w:szCs w:val="24"/>
        </w:rPr>
        <w:t>T</w:t>
      </w:r>
      <w:r w:rsidR="009B7335" w:rsidRPr="0097398B">
        <w:rPr>
          <w:rFonts w:cs="Times New Roman"/>
          <w:szCs w:val="24"/>
        </w:rPr>
        <w:t xml:space="preserve">ransfers </w:t>
      </w:r>
      <w:r w:rsidR="009B7335">
        <w:rPr>
          <w:rFonts w:cs="Times New Roman"/>
          <w:szCs w:val="24"/>
        </w:rPr>
        <w:t xml:space="preserve">and </w:t>
      </w:r>
      <w:r w:rsidR="00604857">
        <w:rPr>
          <w:rFonts w:cs="Times New Roman"/>
          <w:szCs w:val="24"/>
        </w:rPr>
        <w:t>T</w:t>
      </w:r>
      <w:r w:rsidR="009B7335">
        <w:rPr>
          <w:rFonts w:cs="Times New Roman"/>
          <w:szCs w:val="24"/>
        </w:rPr>
        <w:t xml:space="preserve">ime </w:t>
      </w:r>
      <w:r w:rsidR="00604857">
        <w:rPr>
          <w:rFonts w:cs="Times New Roman"/>
          <w:szCs w:val="24"/>
        </w:rPr>
        <w:t>W</w:t>
      </w:r>
      <w:r w:rsidR="009B7335">
        <w:rPr>
          <w:rFonts w:cs="Times New Roman"/>
          <w:szCs w:val="24"/>
        </w:rPr>
        <w:t xml:space="preserve">indows </w:t>
      </w:r>
      <w:r w:rsidR="009B7335" w:rsidRPr="0097398B">
        <w:rPr>
          <w:rFonts w:cs="Times New Roman"/>
          <w:szCs w:val="24"/>
        </w:rPr>
        <w:t>(PDPT</w:t>
      </w:r>
      <w:r w:rsidR="009B7335">
        <w:rPr>
          <w:rFonts w:cs="Times New Roman"/>
          <w:szCs w:val="24"/>
        </w:rPr>
        <w:t>WT</w:t>
      </w:r>
      <w:r w:rsidR="009B7335" w:rsidRPr="00981141">
        <w:rPr>
          <w:rFonts w:cs="Times New Roman"/>
          <w:szCs w:val="24"/>
        </w:rPr>
        <w:t>)</w:t>
      </w:r>
      <w:r w:rsidR="0012064D">
        <w:rPr>
          <w:rFonts w:cs="Times New Roman"/>
          <w:szCs w:val="24"/>
        </w:rPr>
        <w:t>,</w:t>
      </w:r>
      <w:r w:rsidR="00EA3F0E">
        <w:rPr>
          <w:rFonts w:cs="Times New Roman"/>
          <w:szCs w:val="24"/>
        </w:rPr>
        <w:t xml:space="preserve"> respectively</w:t>
      </w:r>
      <w:r w:rsidR="00934804">
        <w:rPr>
          <w:rFonts w:cs="Times New Roman"/>
          <w:szCs w:val="24"/>
        </w:rPr>
        <w:t xml:space="preserve">. </w:t>
      </w:r>
    </w:p>
    <w:p w:rsidR="00821ED1" w:rsidRDefault="007C1F08" w:rsidP="00F86EE1">
      <w:pPr>
        <w:autoSpaceDE w:val="0"/>
        <w:autoSpaceDN w:val="0"/>
        <w:adjustRightInd w:val="0"/>
        <w:spacing w:after="0"/>
        <w:ind w:firstLine="720"/>
        <w:jc w:val="both"/>
        <w:rPr>
          <w:rFonts w:cs="Times New Roman"/>
          <w:szCs w:val="24"/>
        </w:rPr>
      </w:pPr>
      <w:r w:rsidRPr="009E125F">
        <w:rPr>
          <w:rFonts w:cs="Times New Roman"/>
          <w:szCs w:val="24"/>
        </w:rPr>
        <w:t xml:space="preserve">The literature on the VRPCD is limited. Lee at al. (2006) </w:t>
      </w:r>
      <w:proofErr w:type="gramStart"/>
      <w:r w:rsidR="00706001">
        <w:rPr>
          <w:rFonts w:cs="Times New Roman"/>
          <w:szCs w:val="24"/>
        </w:rPr>
        <w:t>are</w:t>
      </w:r>
      <w:proofErr w:type="gramEnd"/>
      <w:r w:rsidRPr="009E125F">
        <w:rPr>
          <w:rFonts w:cs="Times New Roman"/>
          <w:szCs w:val="24"/>
        </w:rPr>
        <w:t xml:space="preserve"> among the first that stud</w:t>
      </w:r>
      <w:r w:rsidR="00706001">
        <w:rPr>
          <w:rFonts w:cs="Times New Roman"/>
          <w:szCs w:val="24"/>
        </w:rPr>
        <w:t>y</w:t>
      </w:r>
      <w:r w:rsidRPr="009E125F">
        <w:rPr>
          <w:rFonts w:cs="Times New Roman"/>
          <w:szCs w:val="24"/>
        </w:rPr>
        <w:t xml:space="preserve"> a transportation problem </w:t>
      </w:r>
      <w:r w:rsidR="00193508" w:rsidRPr="009E125F">
        <w:rPr>
          <w:rFonts w:cs="Times New Roman"/>
          <w:szCs w:val="24"/>
        </w:rPr>
        <w:t>with a cross-docking facility</w:t>
      </w:r>
      <w:r w:rsidRPr="009E125F">
        <w:rPr>
          <w:rFonts w:cs="Times New Roman"/>
          <w:szCs w:val="24"/>
        </w:rPr>
        <w:t>. The</w:t>
      </w:r>
      <w:r w:rsidR="00706001">
        <w:rPr>
          <w:rFonts w:cs="Times New Roman"/>
          <w:szCs w:val="24"/>
        </w:rPr>
        <w:t>y</w:t>
      </w:r>
      <w:r w:rsidRPr="009E125F">
        <w:rPr>
          <w:rFonts w:cs="Times New Roman"/>
          <w:szCs w:val="24"/>
        </w:rPr>
        <w:t xml:space="preserve"> consider a two-level distribution network with a single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Pr="009E125F">
        <w:rPr>
          <w:rFonts w:cs="Times New Roman"/>
          <w:szCs w:val="24"/>
        </w:rPr>
        <w:t>, assuming that all vehicles performing pickups arrive at the cross-dock simultaneously within a predefined time window.</w:t>
      </w:r>
      <w:bookmarkStart w:id="94" w:name="OLE_LINK553"/>
      <w:bookmarkStart w:id="95" w:name="OLE_LINK554"/>
      <w:r w:rsidR="00193508" w:rsidRPr="009E125F">
        <w:rPr>
          <w:rFonts w:cs="Times New Roman"/>
          <w:szCs w:val="24"/>
        </w:rPr>
        <w:t xml:space="preserve"> A mathematical model is developed and an algorithm based on Tabu Search </w:t>
      </w:r>
      <w:r w:rsidR="00193508" w:rsidRPr="00D70DCE">
        <w:rPr>
          <w:rFonts w:cs="Times New Roman"/>
          <w:szCs w:val="24"/>
        </w:rPr>
        <w:t xml:space="preserve">is used to solve the problem. In a later work, </w:t>
      </w:r>
      <w:proofErr w:type="spellStart"/>
      <w:r w:rsidR="00DF6BC5" w:rsidRPr="00D70DCE">
        <w:rPr>
          <w:rFonts w:cs="Times New Roman"/>
          <w:szCs w:val="24"/>
        </w:rPr>
        <w:t>Wen</w:t>
      </w:r>
      <w:proofErr w:type="spellEnd"/>
      <w:r w:rsidR="00DF6BC5" w:rsidRPr="00D70DCE">
        <w:rPr>
          <w:rFonts w:cs="Times New Roman"/>
          <w:szCs w:val="24"/>
        </w:rPr>
        <w:t xml:space="preserve"> et al. </w:t>
      </w:r>
      <w:r w:rsidR="00E162AC" w:rsidRPr="00D70DCE">
        <w:rPr>
          <w:rFonts w:cs="Times New Roman"/>
          <w:szCs w:val="24"/>
        </w:rPr>
        <w:t>(2009)</w:t>
      </w:r>
      <w:bookmarkEnd w:id="94"/>
      <w:bookmarkEnd w:id="95"/>
      <w:r w:rsidR="00193508" w:rsidRPr="00D70DCE">
        <w:rPr>
          <w:rFonts w:cs="Times New Roman"/>
          <w:szCs w:val="24"/>
        </w:rPr>
        <w:t xml:space="preserve"> have considered a more generalized extension of </w:t>
      </w:r>
      <w:r w:rsidR="00C26AD2">
        <w:rPr>
          <w:rFonts w:cs="Times New Roman"/>
          <w:szCs w:val="24"/>
        </w:rPr>
        <w:t>the VRPCD</w:t>
      </w:r>
      <w:r w:rsidR="009E125F" w:rsidRPr="00D70DCE">
        <w:rPr>
          <w:rFonts w:cs="Times New Roman"/>
          <w:szCs w:val="24"/>
        </w:rPr>
        <w:t xml:space="preserve"> </w:t>
      </w:r>
      <w:r w:rsidR="00193508" w:rsidRPr="00D70DCE">
        <w:rPr>
          <w:rFonts w:cs="Times New Roman"/>
          <w:szCs w:val="24"/>
        </w:rPr>
        <w:t xml:space="preserve">without imposing simultaneous arrivals at 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C26AD2">
        <w:rPr>
          <w:rFonts w:cs="Times New Roman"/>
          <w:szCs w:val="24"/>
        </w:rPr>
        <w:t>,</w:t>
      </w:r>
      <w:r w:rsidR="009E125F" w:rsidRPr="00D70DCE">
        <w:rPr>
          <w:rFonts w:cs="Times New Roman"/>
          <w:szCs w:val="24"/>
        </w:rPr>
        <w:t xml:space="preserve"> while they </w:t>
      </w:r>
      <w:r w:rsidR="009E125F" w:rsidRPr="00D70DCE">
        <w:rPr>
          <w:rFonts w:cs="Times New Roman"/>
        </w:rPr>
        <w:t xml:space="preserve">also </w:t>
      </w:r>
      <w:r w:rsidR="009E125F" w:rsidRPr="00D70DCE">
        <w:rPr>
          <w:rFonts w:cs="Times-Roman"/>
        </w:rPr>
        <w:t>consider that the same set of vehicles is utilized for both pickups and deliveries.</w:t>
      </w:r>
      <w:r w:rsidR="00193508" w:rsidRPr="00D70DCE">
        <w:rPr>
          <w:rFonts w:cs="Times New Roman"/>
        </w:rPr>
        <w:t xml:space="preserve"> </w:t>
      </w:r>
      <w:r w:rsidR="009E125F" w:rsidRPr="00D70DCE">
        <w:rPr>
          <w:rFonts w:cs="Times New Roman"/>
        </w:rPr>
        <w:t>The authors present additional constraints i</w:t>
      </w:r>
      <w:r w:rsidR="00193508" w:rsidRPr="00D70DCE">
        <w:rPr>
          <w:rFonts w:cs="Times New Roman"/>
        </w:rPr>
        <w:t xml:space="preserve">n order to ensure synchronization of vehicles at 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9E125F" w:rsidRPr="00D70DCE">
        <w:rPr>
          <w:rFonts w:cs="Times New Roman"/>
        </w:rPr>
        <w:t>. A</w:t>
      </w:r>
      <w:r w:rsidR="009B03CD" w:rsidRPr="00D70DCE">
        <w:rPr>
          <w:rFonts w:cs="Times New Roman"/>
        </w:rPr>
        <w:t xml:space="preserve"> mathematical formulation </w:t>
      </w:r>
      <w:r w:rsidR="009E125F" w:rsidRPr="00D70DCE">
        <w:rPr>
          <w:rFonts w:cs="Times New Roman"/>
        </w:rPr>
        <w:t>is presented and a</w:t>
      </w:r>
      <w:r w:rsidR="009E125F" w:rsidRPr="00D70DCE">
        <w:rPr>
          <w:rFonts w:cs="Times New Roman"/>
          <w:szCs w:val="24"/>
        </w:rPr>
        <w:t xml:space="preserve"> </w:t>
      </w:r>
      <w:r w:rsidR="00DF6BC5" w:rsidRPr="00D70DCE">
        <w:rPr>
          <w:rFonts w:cs="Times New Roman"/>
          <w:szCs w:val="24"/>
        </w:rPr>
        <w:t xml:space="preserve">Tabu Search heuristic embedded within an Adaptive Memory </w:t>
      </w:r>
      <w:r w:rsidR="00A5402F" w:rsidRPr="00D70DCE">
        <w:rPr>
          <w:rFonts w:cs="Times New Roman"/>
          <w:szCs w:val="24"/>
        </w:rPr>
        <w:t>p</w:t>
      </w:r>
      <w:r w:rsidR="00DF6BC5" w:rsidRPr="00D70DCE">
        <w:rPr>
          <w:rFonts w:cs="Times New Roman"/>
          <w:szCs w:val="24"/>
        </w:rPr>
        <w:t>rocedure</w:t>
      </w:r>
      <w:r w:rsidR="009E125F" w:rsidRPr="00D70DCE">
        <w:rPr>
          <w:rFonts w:cs="Times New Roman"/>
          <w:szCs w:val="24"/>
        </w:rPr>
        <w:t xml:space="preserve"> is</w:t>
      </w:r>
      <w:r w:rsidR="009E125F">
        <w:rPr>
          <w:rFonts w:cs="Times New Roman"/>
          <w:szCs w:val="24"/>
        </w:rPr>
        <w:t xml:space="preserve"> developed to solve the problem</w:t>
      </w:r>
      <w:r w:rsidR="00DF6BC5">
        <w:rPr>
          <w:rFonts w:cs="Times New Roman"/>
          <w:szCs w:val="24"/>
        </w:rPr>
        <w:t>.</w:t>
      </w:r>
      <w:r w:rsidR="002E4561">
        <w:rPr>
          <w:rFonts w:cs="Times New Roman"/>
          <w:szCs w:val="24"/>
        </w:rPr>
        <w:t xml:space="preserve"> </w:t>
      </w:r>
      <w:r w:rsidR="00A95E3E">
        <w:rPr>
          <w:rFonts w:cs="Times New Roman"/>
          <w:szCs w:val="24"/>
        </w:rPr>
        <w:t>L</w:t>
      </w:r>
      <w:r w:rsidR="00CC1117" w:rsidRPr="00454EAA">
        <w:rPr>
          <w:rFonts w:cs="Times New Roman"/>
          <w:szCs w:val="24"/>
        </w:rPr>
        <w:t>ower bounds</w:t>
      </w:r>
      <w:r w:rsidR="00A95E3E">
        <w:rPr>
          <w:rFonts w:cs="Times New Roman"/>
          <w:szCs w:val="24"/>
        </w:rPr>
        <w:t xml:space="preserve"> are also reported</w:t>
      </w:r>
      <w:r w:rsidR="00CC1117" w:rsidRPr="00454EAA">
        <w:rPr>
          <w:rFonts w:cs="Times New Roman"/>
          <w:szCs w:val="24"/>
        </w:rPr>
        <w:t>.</w:t>
      </w:r>
      <w:r w:rsidR="00193508" w:rsidRPr="00454EAA">
        <w:rPr>
          <w:rFonts w:cs="Times New Roman"/>
          <w:szCs w:val="24"/>
        </w:rPr>
        <w:t xml:space="preserve"> </w:t>
      </w:r>
      <w:proofErr w:type="spellStart"/>
      <w:r w:rsidR="00E162AC" w:rsidRPr="00454EAA">
        <w:rPr>
          <w:rFonts w:cs="Times New Roman"/>
          <w:szCs w:val="24"/>
        </w:rPr>
        <w:t>Tarantilis</w:t>
      </w:r>
      <w:proofErr w:type="spellEnd"/>
      <w:r w:rsidR="00E162AC" w:rsidRPr="00454EAA">
        <w:rPr>
          <w:rFonts w:cs="Times New Roman"/>
          <w:szCs w:val="24"/>
        </w:rPr>
        <w:t xml:space="preserve"> (2013)</w:t>
      </w:r>
      <w:r w:rsidR="00193508" w:rsidRPr="00454EAA">
        <w:rPr>
          <w:rFonts w:cs="Times New Roman"/>
          <w:szCs w:val="24"/>
        </w:rPr>
        <w:t xml:space="preserve"> </w:t>
      </w:r>
      <w:r w:rsidR="007A7B04" w:rsidRPr="00454EAA">
        <w:rPr>
          <w:rFonts w:cs="Times New Roman"/>
          <w:szCs w:val="24"/>
        </w:rPr>
        <w:t>proposes</w:t>
      </w:r>
      <w:r w:rsidR="00CB1480" w:rsidRPr="00454EAA">
        <w:rPr>
          <w:rFonts w:cs="Times New Roman"/>
          <w:szCs w:val="24"/>
        </w:rPr>
        <w:t xml:space="preserve"> a multi-restart </w:t>
      </w:r>
      <w:r w:rsidR="00792A1B" w:rsidRPr="00454EAA">
        <w:rPr>
          <w:rFonts w:cs="Times New Roman"/>
          <w:szCs w:val="24"/>
        </w:rPr>
        <w:t>T</w:t>
      </w:r>
      <w:r w:rsidR="001B5515">
        <w:rPr>
          <w:rFonts w:cs="Times New Roman"/>
          <w:szCs w:val="24"/>
        </w:rPr>
        <w:t xml:space="preserve">abu </w:t>
      </w:r>
      <w:r w:rsidR="00792A1B" w:rsidRPr="00454EAA">
        <w:rPr>
          <w:rFonts w:cs="Times New Roman"/>
          <w:szCs w:val="24"/>
        </w:rPr>
        <w:t>S</w:t>
      </w:r>
      <w:r w:rsidR="001B5515">
        <w:rPr>
          <w:rFonts w:cs="Times New Roman"/>
          <w:szCs w:val="24"/>
        </w:rPr>
        <w:t>earch</w:t>
      </w:r>
      <w:r w:rsidR="00CB1480" w:rsidRPr="00454EAA">
        <w:rPr>
          <w:rFonts w:cs="Times New Roman"/>
          <w:szCs w:val="24"/>
        </w:rPr>
        <w:t xml:space="preserve"> approach</w:t>
      </w:r>
      <w:r w:rsidR="002E4561" w:rsidRPr="00454EAA">
        <w:rPr>
          <w:rFonts w:cs="Times New Roman"/>
          <w:szCs w:val="24"/>
        </w:rPr>
        <w:t xml:space="preserve"> </w:t>
      </w:r>
      <w:r w:rsidR="00082C8E" w:rsidRPr="00454EAA">
        <w:rPr>
          <w:rFonts w:cs="Times New Roman"/>
          <w:szCs w:val="24"/>
        </w:rPr>
        <w:t xml:space="preserve">for the </w:t>
      </w:r>
      <w:r w:rsidR="00410F37" w:rsidRPr="00454EAA">
        <w:rPr>
          <w:rFonts w:cs="Times New Roman"/>
          <w:szCs w:val="24"/>
        </w:rPr>
        <w:t xml:space="preserve">VRPCD </w:t>
      </w:r>
      <w:r w:rsidR="007A7B04" w:rsidRPr="00454EAA">
        <w:rPr>
          <w:rFonts w:cs="Times New Roman"/>
          <w:szCs w:val="24"/>
        </w:rPr>
        <w:t>considering different consolidation scenarios, regarding the load exchange between pickup and delivery vehicles</w:t>
      </w:r>
      <w:r w:rsidR="00CB1480" w:rsidRPr="00454EAA">
        <w:rPr>
          <w:rFonts w:cs="Times New Roman"/>
          <w:szCs w:val="24"/>
        </w:rPr>
        <w:t xml:space="preserve">. </w:t>
      </w:r>
      <w:r w:rsidR="00DF6BC5" w:rsidRPr="00454EAA">
        <w:rPr>
          <w:rFonts w:cs="Times New Roman"/>
          <w:szCs w:val="24"/>
        </w:rPr>
        <w:t>The former work</w:t>
      </w:r>
      <w:r w:rsidR="002E4561" w:rsidRPr="00454EAA">
        <w:rPr>
          <w:rFonts w:cs="Times New Roman"/>
          <w:szCs w:val="24"/>
        </w:rPr>
        <w:t xml:space="preserve"> </w:t>
      </w:r>
      <w:r w:rsidR="00036F92" w:rsidRPr="00454EAA">
        <w:rPr>
          <w:rFonts w:cs="Times New Roman"/>
          <w:szCs w:val="24"/>
        </w:rPr>
        <w:t xml:space="preserve">also </w:t>
      </w:r>
      <w:r w:rsidR="00CB1480" w:rsidRPr="00454EAA">
        <w:rPr>
          <w:rFonts w:cs="Times New Roman"/>
          <w:szCs w:val="24"/>
        </w:rPr>
        <w:t>examine</w:t>
      </w:r>
      <w:r w:rsidR="009331BF" w:rsidRPr="00454EAA">
        <w:rPr>
          <w:rFonts w:cs="Times New Roman"/>
          <w:szCs w:val="24"/>
        </w:rPr>
        <w:t>s</w:t>
      </w:r>
      <w:r w:rsidR="00CB1480" w:rsidRPr="00454EAA">
        <w:rPr>
          <w:rFonts w:cs="Times New Roman"/>
          <w:szCs w:val="24"/>
        </w:rPr>
        <w:t xml:space="preserve"> open and close network configurations.</w:t>
      </w:r>
      <w:r w:rsidR="00795339">
        <w:rPr>
          <w:rFonts w:cs="Times New Roman"/>
          <w:szCs w:val="24"/>
        </w:rPr>
        <w:t xml:space="preserve"> In the first case, vehicles start/end their routes at any possible pickup/delivery location while in the close network configuration vehicles start and end their routes at 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795339">
        <w:rPr>
          <w:rFonts w:cs="Times New Roman"/>
          <w:szCs w:val="24"/>
        </w:rPr>
        <w:t>.</w:t>
      </w:r>
      <w:r w:rsidR="002E4561" w:rsidRPr="00454EAA">
        <w:rPr>
          <w:rFonts w:cs="Times New Roman"/>
          <w:szCs w:val="24"/>
        </w:rPr>
        <w:t xml:space="preserve"> </w:t>
      </w:r>
      <w:r w:rsidR="00792A1B" w:rsidRPr="00454EAA">
        <w:rPr>
          <w:rFonts w:cs="Times New Roman"/>
          <w:szCs w:val="24"/>
        </w:rPr>
        <w:t xml:space="preserve">More recently, </w:t>
      </w:r>
      <w:proofErr w:type="spellStart"/>
      <w:r w:rsidR="001E53C5" w:rsidRPr="00454EAA">
        <w:rPr>
          <w:rFonts w:cs="Times New Roman"/>
          <w:szCs w:val="24"/>
        </w:rPr>
        <w:t>Morais</w:t>
      </w:r>
      <w:proofErr w:type="spellEnd"/>
      <w:r w:rsidR="001E53C5" w:rsidRPr="00454EAA">
        <w:rPr>
          <w:rFonts w:cs="Times New Roman"/>
          <w:szCs w:val="24"/>
        </w:rPr>
        <w:t xml:space="preserve"> et al.</w:t>
      </w:r>
      <w:r w:rsidR="00E162AC" w:rsidRPr="00454EAA">
        <w:rPr>
          <w:rFonts w:cs="Times New Roman"/>
          <w:szCs w:val="24"/>
        </w:rPr>
        <w:t xml:space="preserve"> (2014)</w:t>
      </w:r>
      <w:r w:rsidR="002E4561" w:rsidRPr="00454EAA">
        <w:rPr>
          <w:rFonts w:cs="Times New Roman"/>
          <w:szCs w:val="24"/>
        </w:rPr>
        <w:t xml:space="preserve"> </w:t>
      </w:r>
      <w:r w:rsidR="00C47BF2" w:rsidRPr="00454EAA">
        <w:rPr>
          <w:rFonts w:cs="Times New Roman"/>
          <w:szCs w:val="24"/>
        </w:rPr>
        <w:t xml:space="preserve">have </w:t>
      </w:r>
      <w:r w:rsidR="006C2141" w:rsidRPr="00454EAA">
        <w:rPr>
          <w:rFonts w:cs="Times New Roman"/>
          <w:szCs w:val="24"/>
        </w:rPr>
        <w:t>proposed three Iterated</w:t>
      </w:r>
      <w:r w:rsidR="006C2141">
        <w:rPr>
          <w:rFonts w:cs="Times New Roman"/>
          <w:szCs w:val="24"/>
        </w:rPr>
        <w:t xml:space="preserve"> Local Search </w:t>
      </w:r>
      <w:r w:rsidR="00E121D9">
        <w:rPr>
          <w:rFonts w:cs="Times New Roman"/>
          <w:szCs w:val="24"/>
        </w:rPr>
        <w:t>meta</w:t>
      </w:r>
      <w:r w:rsidR="006C2141">
        <w:rPr>
          <w:rFonts w:cs="Times New Roman"/>
          <w:szCs w:val="24"/>
        </w:rPr>
        <w:t>heuristic</w:t>
      </w:r>
      <w:r w:rsidR="00E121D9">
        <w:rPr>
          <w:rFonts w:cs="Times New Roman"/>
          <w:szCs w:val="24"/>
        </w:rPr>
        <w:t xml:space="preserve"> algorithm</w:t>
      </w:r>
      <w:r w:rsidR="006C2141">
        <w:rPr>
          <w:rFonts w:cs="Times New Roman"/>
          <w:szCs w:val="24"/>
        </w:rPr>
        <w:t xml:space="preserve">s to </w:t>
      </w:r>
      <w:r w:rsidR="00E121D9">
        <w:rPr>
          <w:rFonts w:cs="Times New Roman"/>
          <w:szCs w:val="24"/>
        </w:rPr>
        <w:t xml:space="preserve">solve the VRPCD. They </w:t>
      </w:r>
      <w:r w:rsidR="006C2141">
        <w:rPr>
          <w:rFonts w:cs="Times New Roman"/>
          <w:szCs w:val="24"/>
        </w:rPr>
        <w:t xml:space="preserve">also </w:t>
      </w:r>
      <w:r w:rsidR="00792A1B">
        <w:rPr>
          <w:rFonts w:cs="Times New Roman"/>
          <w:szCs w:val="24"/>
        </w:rPr>
        <w:t xml:space="preserve">generate a new set of instances </w:t>
      </w:r>
      <w:r w:rsidR="006C2141">
        <w:rPr>
          <w:rFonts w:cs="Times New Roman"/>
          <w:szCs w:val="24"/>
        </w:rPr>
        <w:t>in order to demonstrate the efficiency of the proposed algorithm on larger size instances.</w:t>
      </w:r>
    </w:p>
    <w:p w:rsidR="00821ED1" w:rsidRDefault="00797C2D" w:rsidP="00F86EE1">
      <w:pPr>
        <w:autoSpaceDE w:val="0"/>
        <w:autoSpaceDN w:val="0"/>
        <w:adjustRightInd w:val="0"/>
        <w:spacing w:after="0"/>
        <w:ind w:firstLine="720"/>
        <w:jc w:val="both"/>
        <w:rPr>
          <w:rFonts w:cs="Times New Roman"/>
          <w:szCs w:val="24"/>
        </w:rPr>
      </w:pPr>
      <w:r w:rsidRPr="000053E9">
        <w:rPr>
          <w:rFonts w:cs="Times New Roman"/>
          <w:szCs w:val="24"/>
        </w:rPr>
        <w:t xml:space="preserve">Regarding </w:t>
      </w:r>
      <w:r w:rsidR="00CC1117" w:rsidRPr="000053E9">
        <w:rPr>
          <w:rFonts w:cs="Times New Roman"/>
          <w:szCs w:val="24"/>
        </w:rPr>
        <w:t>the PDPTWT</w:t>
      </w:r>
      <w:r w:rsidR="00F31D37">
        <w:rPr>
          <w:rFonts w:cs="Times New Roman"/>
          <w:szCs w:val="24"/>
        </w:rPr>
        <w:t xml:space="preserve">, </w:t>
      </w:r>
      <w:r w:rsidR="00EB18AB" w:rsidRPr="000053E9">
        <w:rPr>
          <w:rFonts w:cs="Times New Roman"/>
          <w:szCs w:val="24"/>
        </w:rPr>
        <w:t xml:space="preserve">one of the first </w:t>
      </w:r>
      <w:bookmarkStart w:id="96" w:name="OLE_LINK559"/>
      <w:bookmarkStart w:id="97" w:name="OLE_LINK560"/>
      <w:r w:rsidR="00CC1117">
        <w:rPr>
          <w:rFonts w:cs="Times New Roman"/>
          <w:szCs w:val="24"/>
        </w:rPr>
        <w:t xml:space="preserve">studies </w:t>
      </w:r>
      <w:r w:rsidR="00EB18AB" w:rsidRPr="000053E9">
        <w:rPr>
          <w:rFonts w:cs="Times New Roman"/>
          <w:szCs w:val="24"/>
        </w:rPr>
        <w:t xml:space="preserve">is due to </w:t>
      </w:r>
      <w:proofErr w:type="spellStart"/>
      <w:r w:rsidR="00134947" w:rsidRPr="000053E9">
        <w:rPr>
          <w:rFonts w:cs="Times New Roman"/>
          <w:szCs w:val="24"/>
        </w:rPr>
        <w:t>Mitrovic-Minic</w:t>
      </w:r>
      <w:proofErr w:type="spellEnd"/>
      <w:r w:rsidR="00134947" w:rsidRPr="000053E9">
        <w:rPr>
          <w:rFonts w:cs="Times New Roman"/>
          <w:szCs w:val="24"/>
        </w:rPr>
        <w:t xml:space="preserve"> and </w:t>
      </w:r>
      <w:proofErr w:type="spellStart"/>
      <w:r w:rsidR="00134947" w:rsidRPr="000053E9">
        <w:rPr>
          <w:rFonts w:cs="Times New Roman"/>
          <w:szCs w:val="24"/>
        </w:rPr>
        <w:t>Laporte</w:t>
      </w:r>
      <w:bookmarkEnd w:id="96"/>
      <w:bookmarkEnd w:id="97"/>
      <w:proofErr w:type="spellEnd"/>
      <w:r w:rsidR="00E162AC">
        <w:rPr>
          <w:rFonts w:cs="Times New Roman"/>
          <w:szCs w:val="24"/>
        </w:rPr>
        <w:t xml:space="preserve"> (</w:t>
      </w:r>
      <w:r w:rsidR="00134947" w:rsidRPr="000053E9">
        <w:rPr>
          <w:rFonts w:cs="Times New Roman"/>
          <w:szCs w:val="24"/>
        </w:rPr>
        <w:t>200</w:t>
      </w:r>
      <w:r w:rsidR="00A34513" w:rsidRPr="000053E9">
        <w:rPr>
          <w:rFonts w:cs="Times New Roman"/>
          <w:szCs w:val="24"/>
        </w:rPr>
        <w:t>6</w:t>
      </w:r>
      <w:r w:rsidR="00E162AC">
        <w:rPr>
          <w:rFonts w:cs="Times New Roman"/>
          <w:szCs w:val="24"/>
        </w:rPr>
        <w:t>)</w:t>
      </w:r>
      <w:r w:rsidR="00134947" w:rsidRPr="000053E9">
        <w:rPr>
          <w:rFonts w:cs="Times New Roman"/>
          <w:szCs w:val="24"/>
        </w:rPr>
        <w:t>.</w:t>
      </w:r>
      <w:r w:rsidR="008F334F" w:rsidRPr="000053E9">
        <w:rPr>
          <w:rFonts w:cs="Times New Roman"/>
          <w:szCs w:val="24"/>
        </w:rPr>
        <w:t xml:space="preserve"> The authors </w:t>
      </w:r>
      <w:r w:rsidR="00D84F77">
        <w:rPr>
          <w:rFonts w:cs="Times New Roman"/>
          <w:szCs w:val="24"/>
        </w:rPr>
        <w:t>present</w:t>
      </w:r>
      <w:r w:rsidR="00E121D9">
        <w:rPr>
          <w:rFonts w:cs="Times New Roman"/>
          <w:szCs w:val="24"/>
        </w:rPr>
        <w:t>ed</w:t>
      </w:r>
      <w:r w:rsidR="000053E9" w:rsidRPr="000053E9">
        <w:rPr>
          <w:rFonts w:cs="Times New Roman"/>
          <w:szCs w:val="24"/>
        </w:rPr>
        <w:t xml:space="preserve"> a local search method for the </w:t>
      </w:r>
      <w:proofErr w:type="spellStart"/>
      <w:r w:rsidR="000053E9" w:rsidRPr="000053E9">
        <w:rPr>
          <w:rFonts w:cs="Times New Roman"/>
          <w:szCs w:val="24"/>
        </w:rPr>
        <w:t>uncapacitated</w:t>
      </w:r>
      <w:proofErr w:type="spellEnd"/>
      <w:r w:rsidR="000053E9" w:rsidRPr="000053E9">
        <w:rPr>
          <w:rFonts w:cs="Times New Roman"/>
          <w:szCs w:val="24"/>
        </w:rPr>
        <w:t xml:space="preserve"> PDPT</w:t>
      </w:r>
      <w:r w:rsidR="00D84F77">
        <w:rPr>
          <w:rFonts w:cs="Times New Roman"/>
          <w:szCs w:val="24"/>
        </w:rPr>
        <w:t>WT</w:t>
      </w:r>
      <w:r w:rsidR="00134947" w:rsidRPr="000053E9">
        <w:rPr>
          <w:rFonts w:cs="Times New Roman"/>
          <w:szCs w:val="24"/>
        </w:rPr>
        <w:t xml:space="preserve">. </w:t>
      </w:r>
      <w:r w:rsidR="00E162AC">
        <w:rPr>
          <w:rFonts w:cs="Times New Roman"/>
          <w:szCs w:val="24"/>
        </w:rPr>
        <w:t>Masson et al. (</w:t>
      </w:r>
      <w:r w:rsidR="00F21B01" w:rsidRPr="000053E9">
        <w:rPr>
          <w:rFonts w:cs="Times New Roman"/>
          <w:szCs w:val="24"/>
        </w:rPr>
        <w:t>2013</w:t>
      </w:r>
      <w:r w:rsidR="00E162AC">
        <w:rPr>
          <w:rFonts w:cs="Times New Roman"/>
          <w:szCs w:val="24"/>
        </w:rPr>
        <w:t>)</w:t>
      </w:r>
      <w:r w:rsidR="00C47BF2">
        <w:rPr>
          <w:rFonts w:cs="Times New Roman"/>
          <w:szCs w:val="24"/>
        </w:rPr>
        <w:t xml:space="preserve"> </w:t>
      </w:r>
      <w:r w:rsidR="00D84F77">
        <w:rPr>
          <w:rFonts w:cs="Times New Roman"/>
          <w:szCs w:val="24"/>
        </w:rPr>
        <w:t xml:space="preserve">have </w:t>
      </w:r>
      <w:r w:rsidR="000264CB">
        <w:rPr>
          <w:rFonts w:cs="Times New Roman"/>
          <w:szCs w:val="24"/>
        </w:rPr>
        <w:t>develop</w:t>
      </w:r>
      <w:r w:rsidR="00D84F77">
        <w:rPr>
          <w:rFonts w:cs="Times New Roman"/>
          <w:szCs w:val="24"/>
        </w:rPr>
        <w:t>ed</w:t>
      </w:r>
      <w:r w:rsidR="000053E9">
        <w:rPr>
          <w:rFonts w:cs="Times New Roman"/>
          <w:szCs w:val="24"/>
        </w:rPr>
        <w:t xml:space="preserve"> an </w:t>
      </w:r>
      <w:r w:rsidR="00344DE7">
        <w:rPr>
          <w:rFonts w:cs="Times New Roman"/>
          <w:szCs w:val="24"/>
        </w:rPr>
        <w:t xml:space="preserve">Adaptive Large Neighborhood Search </w:t>
      </w:r>
      <w:r w:rsidR="00E121D9">
        <w:rPr>
          <w:rFonts w:cs="Times New Roman"/>
          <w:szCs w:val="24"/>
        </w:rPr>
        <w:t>meta</w:t>
      </w:r>
      <w:r w:rsidR="000053E9">
        <w:rPr>
          <w:rFonts w:cs="Times New Roman"/>
          <w:szCs w:val="24"/>
        </w:rPr>
        <w:t xml:space="preserve">heuristic </w:t>
      </w:r>
      <w:r w:rsidR="00E121D9">
        <w:rPr>
          <w:rFonts w:cs="Times New Roman"/>
          <w:szCs w:val="24"/>
        </w:rPr>
        <w:t xml:space="preserve">algorithm </w:t>
      </w:r>
      <w:r w:rsidR="000053E9">
        <w:rPr>
          <w:rFonts w:cs="Times New Roman"/>
          <w:szCs w:val="24"/>
        </w:rPr>
        <w:t>for the PDPTW</w:t>
      </w:r>
      <w:r w:rsidR="00D84F77">
        <w:rPr>
          <w:rFonts w:cs="Times New Roman"/>
          <w:szCs w:val="24"/>
        </w:rPr>
        <w:t>T</w:t>
      </w:r>
      <w:r w:rsidR="000053E9">
        <w:rPr>
          <w:rFonts w:cs="Times New Roman"/>
          <w:szCs w:val="24"/>
        </w:rPr>
        <w:t xml:space="preserve"> with multiple transfer points. </w:t>
      </w:r>
      <w:r w:rsidR="0079027D">
        <w:rPr>
          <w:rFonts w:cs="Times New Roman"/>
          <w:szCs w:val="24"/>
        </w:rPr>
        <w:t>This approach</w:t>
      </w:r>
      <w:r w:rsidR="00FF202B">
        <w:rPr>
          <w:rFonts w:cs="Times New Roman"/>
          <w:szCs w:val="24"/>
        </w:rPr>
        <w:t xml:space="preserve"> </w:t>
      </w:r>
      <w:r w:rsidR="000127BD">
        <w:rPr>
          <w:rFonts w:cs="Times New Roman"/>
          <w:szCs w:val="24"/>
        </w:rPr>
        <w:t>is</w:t>
      </w:r>
      <w:r w:rsidR="00FF202B">
        <w:rPr>
          <w:rFonts w:cs="Times New Roman"/>
          <w:szCs w:val="24"/>
        </w:rPr>
        <w:t xml:space="preserve"> </w:t>
      </w:r>
      <w:r w:rsidR="00276362" w:rsidRPr="000053E9">
        <w:rPr>
          <w:rFonts w:cs="Times New Roman"/>
          <w:szCs w:val="24"/>
        </w:rPr>
        <w:t>tested</w:t>
      </w:r>
      <w:r w:rsidR="00C47BF2">
        <w:rPr>
          <w:rFonts w:cs="Times New Roman"/>
          <w:szCs w:val="24"/>
        </w:rPr>
        <w:t xml:space="preserve"> </w:t>
      </w:r>
      <w:r w:rsidR="001419FD" w:rsidRPr="000053E9">
        <w:rPr>
          <w:rFonts w:cs="Times New Roman"/>
          <w:szCs w:val="24"/>
        </w:rPr>
        <w:t>on</w:t>
      </w:r>
      <w:r w:rsidR="00A34513" w:rsidRPr="000053E9">
        <w:rPr>
          <w:rFonts w:cs="Times New Roman"/>
          <w:szCs w:val="24"/>
        </w:rPr>
        <w:t xml:space="preserve"> real-life instances </w:t>
      </w:r>
      <w:r w:rsidR="001419FD" w:rsidRPr="000053E9">
        <w:rPr>
          <w:rFonts w:cs="Times New Roman"/>
          <w:szCs w:val="24"/>
        </w:rPr>
        <w:t>involving</w:t>
      </w:r>
      <w:r w:rsidR="00A34513" w:rsidRPr="000053E9">
        <w:rPr>
          <w:rFonts w:cs="Times New Roman"/>
          <w:szCs w:val="24"/>
        </w:rPr>
        <w:t xml:space="preserve"> the transportation of mentally or physically disabled people.</w:t>
      </w:r>
      <w:r w:rsidR="00C47BF2">
        <w:rPr>
          <w:rFonts w:cs="Times New Roman"/>
          <w:szCs w:val="24"/>
        </w:rPr>
        <w:t xml:space="preserve"> </w:t>
      </w:r>
      <w:r w:rsidR="001419FD" w:rsidRPr="000053E9">
        <w:rPr>
          <w:rFonts w:cs="Times New Roman"/>
          <w:szCs w:val="24"/>
        </w:rPr>
        <w:t xml:space="preserve">With regard to exact methods, </w:t>
      </w:r>
      <w:r w:rsidR="00E162AC">
        <w:rPr>
          <w:rFonts w:cs="Times New Roman"/>
          <w:szCs w:val="24"/>
        </w:rPr>
        <w:t xml:space="preserve">Cortés et al. </w:t>
      </w:r>
      <w:r w:rsidR="00880D09" w:rsidRPr="000053E9">
        <w:rPr>
          <w:rFonts w:cs="Times New Roman"/>
          <w:szCs w:val="24"/>
        </w:rPr>
        <w:t xml:space="preserve">(2010) </w:t>
      </w:r>
      <w:r w:rsidR="0044460D" w:rsidRPr="000053E9">
        <w:rPr>
          <w:rFonts w:cs="Times New Roman"/>
          <w:szCs w:val="24"/>
        </w:rPr>
        <w:t>present</w:t>
      </w:r>
      <w:r w:rsidR="0079027D">
        <w:rPr>
          <w:rFonts w:cs="Times New Roman"/>
          <w:szCs w:val="24"/>
        </w:rPr>
        <w:t>ed</w:t>
      </w:r>
      <w:r w:rsidR="00880D09" w:rsidRPr="000053E9">
        <w:rPr>
          <w:rFonts w:cs="Times New Roman"/>
          <w:szCs w:val="24"/>
        </w:rPr>
        <w:t xml:space="preserve"> a </w:t>
      </w:r>
      <w:r w:rsidR="005E3A2D" w:rsidRPr="000053E9">
        <w:rPr>
          <w:rFonts w:cs="Times New Roman"/>
          <w:szCs w:val="24"/>
        </w:rPr>
        <w:t xml:space="preserve">comprehensive mathematical formulation </w:t>
      </w:r>
      <w:r w:rsidR="00680ADC" w:rsidRPr="000053E9">
        <w:rPr>
          <w:rFonts w:cs="Times New Roman"/>
          <w:szCs w:val="24"/>
        </w:rPr>
        <w:t xml:space="preserve">for </w:t>
      </w:r>
      <w:r w:rsidR="0044460D" w:rsidRPr="000053E9">
        <w:rPr>
          <w:rFonts w:cs="Times New Roman"/>
          <w:szCs w:val="24"/>
        </w:rPr>
        <w:t>the</w:t>
      </w:r>
      <w:r w:rsidR="00C47BF2">
        <w:rPr>
          <w:rFonts w:cs="Times New Roman"/>
          <w:szCs w:val="24"/>
        </w:rPr>
        <w:t xml:space="preserve"> </w:t>
      </w:r>
      <w:r w:rsidR="005E3A2D" w:rsidRPr="000053E9">
        <w:rPr>
          <w:rFonts w:cs="Times New Roman"/>
          <w:szCs w:val="24"/>
        </w:rPr>
        <w:t>PDPT</w:t>
      </w:r>
      <w:r w:rsidR="005B0E4B" w:rsidRPr="000053E9">
        <w:rPr>
          <w:rFonts w:cs="Times New Roman"/>
          <w:szCs w:val="24"/>
        </w:rPr>
        <w:t>W</w:t>
      </w:r>
      <w:bookmarkStart w:id="98" w:name="OLE_LINK519"/>
      <w:bookmarkStart w:id="99" w:name="OLE_LINK520"/>
      <w:bookmarkStart w:id="100" w:name="OLE_LINK521"/>
      <w:r w:rsidR="00D84F77">
        <w:rPr>
          <w:rFonts w:cs="Times New Roman"/>
          <w:szCs w:val="24"/>
        </w:rPr>
        <w:t>T</w:t>
      </w:r>
      <w:r w:rsidR="001C32F4">
        <w:rPr>
          <w:rFonts w:cs="Times New Roman"/>
          <w:szCs w:val="24"/>
        </w:rPr>
        <w:t xml:space="preserve">. </w:t>
      </w:r>
      <w:r w:rsidR="001419FD" w:rsidRPr="000053E9">
        <w:rPr>
          <w:rFonts w:cs="Times New Roman"/>
          <w:szCs w:val="24"/>
        </w:rPr>
        <w:t xml:space="preserve">Their </w:t>
      </w:r>
      <w:r w:rsidR="00F3626E">
        <w:rPr>
          <w:rFonts w:cs="Times New Roman"/>
          <w:szCs w:val="24"/>
        </w:rPr>
        <w:t xml:space="preserve">solution </w:t>
      </w:r>
      <w:r w:rsidR="0079027D">
        <w:rPr>
          <w:rFonts w:cs="Times New Roman"/>
          <w:szCs w:val="24"/>
        </w:rPr>
        <w:t>method</w:t>
      </w:r>
      <w:r w:rsidR="001419FD" w:rsidRPr="000053E9">
        <w:rPr>
          <w:rFonts w:cs="Times New Roman"/>
          <w:szCs w:val="24"/>
        </w:rPr>
        <w:t xml:space="preserve"> consists of a</w:t>
      </w:r>
      <w:bookmarkEnd w:id="98"/>
      <w:bookmarkEnd w:id="99"/>
      <w:bookmarkEnd w:id="100"/>
      <w:r w:rsidR="00C47BF2">
        <w:rPr>
          <w:rFonts w:cs="Times New Roman"/>
          <w:szCs w:val="24"/>
        </w:rPr>
        <w:t xml:space="preserve"> </w:t>
      </w:r>
      <w:r w:rsidR="00F3626E">
        <w:rPr>
          <w:rFonts w:cs="Times New Roman"/>
          <w:szCs w:val="24"/>
        </w:rPr>
        <w:t>B</w:t>
      </w:r>
      <w:r w:rsidR="001419FD" w:rsidRPr="000053E9">
        <w:rPr>
          <w:rFonts w:cs="Times New Roman"/>
          <w:szCs w:val="24"/>
        </w:rPr>
        <w:t>ranch-and-</w:t>
      </w:r>
      <w:r w:rsidR="00F3626E">
        <w:rPr>
          <w:rFonts w:cs="Times New Roman"/>
          <w:szCs w:val="24"/>
        </w:rPr>
        <w:t>C</w:t>
      </w:r>
      <w:r w:rsidR="001419FD" w:rsidRPr="000053E9">
        <w:rPr>
          <w:rFonts w:cs="Times New Roman"/>
          <w:szCs w:val="24"/>
        </w:rPr>
        <w:t xml:space="preserve">ut </w:t>
      </w:r>
      <w:r w:rsidR="0079027D">
        <w:rPr>
          <w:rFonts w:cs="Times New Roman"/>
          <w:szCs w:val="24"/>
        </w:rPr>
        <w:t>scheme</w:t>
      </w:r>
      <w:r w:rsidR="001419FD" w:rsidRPr="000053E9">
        <w:rPr>
          <w:rFonts w:cs="Times New Roman"/>
          <w:szCs w:val="24"/>
        </w:rPr>
        <w:t xml:space="preserve"> based on </w:t>
      </w:r>
      <w:r w:rsidR="0079027D">
        <w:rPr>
          <w:rFonts w:cs="Times New Roman"/>
          <w:szCs w:val="24"/>
        </w:rPr>
        <w:t xml:space="preserve">a </w:t>
      </w:r>
      <w:r w:rsidR="001419FD" w:rsidRPr="000053E9">
        <w:rPr>
          <w:rFonts w:cs="Times New Roman"/>
          <w:szCs w:val="24"/>
        </w:rPr>
        <w:t>Benders decomposition algorithm.</w:t>
      </w:r>
      <w:bookmarkStart w:id="101" w:name="OLE_LINK930"/>
      <w:bookmarkStart w:id="102" w:name="OLE_LINK931"/>
      <w:r w:rsidR="00C47BF2">
        <w:rPr>
          <w:rFonts w:cs="Times New Roman"/>
          <w:szCs w:val="24"/>
        </w:rPr>
        <w:t xml:space="preserve"> </w:t>
      </w:r>
      <w:proofErr w:type="spellStart"/>
      <w:r w:rsidR="00167A7C" w:rsidRPr="000053E9">
        <w:rPr>
          <w:rFonts w:cs="Times New Roman"/>
          <w:szCs w:val="24"/>
        </w:rPr>
        <w:t>Mues</w:t>
      </w:r>
      <w:proofErr w:type="spellEnd"/>
      <w:r w:rsidR="00167A7C" w:rsidRPr="000053E9">
        <w:rPr>
          <w:rFonts w:cs="Times New Roman"/>
          <w:szCs w:val="24"/>
        </w:rPr>
        <w:t xml:space="preserve"> and </w:t>
      </w:r>
      <w:proofErr w:type="spellStart"/>
      <w:r w:rsidR="00167A7C" w:rsidRPr="000053E9">
        <w:rPr>
          <w:rFonts w:cs="Times New Roman"/>
          <w:szCs w:val="24"/>
        </w:rPr>
        <w:t>Pickl</w:t>
      </w:r>
      <w:proofErr w:type="spellEnd"/>
      <w:r w:rsidR="00167A7C" w:rsidRPr="000053E9">
        <w:rPr>
          <w:rFonts w:cs="Times New Roman"/>
          <w:szCs w:val="24"/>
        </w:rPr>
        <w:t xml:space="preserve"> </w:t>
      </w:r>
      <w:r w:rsidR="00E162AC">
        <w:rPr>
          <w:rFonts w:cs="Times New Roman"/>
          <w:szCs w:val="24"/>
        </w:rPr>
        <w:t>(2005)</w:t>
      </w:r>
      <w:r w:rsidR="008C267F" w:rsidRPr="000053E9">
        <w:rPr>
          <w:rFonts w:cs="Times New Roman"/>
          <w:szCs w:val="24"/>
        </w:rPr>
        <w:t xml:space="preserve"> solve the PDPTWT via a</w:t>
      </w:r>
      <w:r w:rsidR="00C47BF2">
        <w:rPr>
          <w:rFonts w:cs="Times New Roman"/>
          <w:szCs w:val="24"/>
        </w:rPr>
        <w:t xml:space="preserve"> </w:t>
      </w:r>
      <w:r w:rsidR="0044460D" w:rsidRPr="000053E9">
        <w:rPr>
          <w:rFonts w:cs="Times New Roman"/>
          <w:szCs w:val="24"/>
        </w:rPr>
        <w:t>C</w:t>
      </w:r>
      <w:r w:rsidR="00167A7C" w:rsidRPr="000053E9">
        <w:rPr>
          <w:rFonts w:cs="Times New Roman"/>
          <w:szCs w:val="24"/>
        </w:rPr>
        <w:t xml:space="preserve">olumn </w:t>
      </w:r>
      <w:r w:rsidR="0044460D" w:rsidRPr="000053E9">
        <w:rPr>
          <w:rFonts w:cs="Times New Roman"/>
          <w:szCs w:val="24"/>
        </w:rPr>
        <w:t>G</w:t>
      </w:r>
      <w:r w:rsidR="00167A7C" w:rsidRPr="000053E9">
        <w:rPr>
          <w:rFonts w:cs="Times New Roman"/>
          <w:szCs w:val="24"/>
        </w:rPr>
        <w:t>eneration</w:t>
      </w:r>
      <w:bookmarkEnd w:id="101"/>
      <w:bookmarkEnd w:id="102"/>
      <w:r w:rsidR="00C47BF2">
        <w:rPr>
          <w:rFonts w:cs="Times New Roman"/>
          <w:szCs w:val="24"/>
        </w:rPr>
        <w:t xml:space="preserve"> </w:t>
      </w:r>
      <w:r w:rsidR="00167A7C" w:rsidRPr="000053E9">
        <w:rPr>
          <w:rFonts w:cs="Times New Roman"/>
          <w:szCs w:val="24"/>
        </w:rPr>
        <w:t>approach</w:t>
      </w:r>
      <w:r w:rsidR="008C267F" w:rsidRPr="000053E9">
        <w:rPr>
          <w:rFonts w:cs="Times New Roman"/>
          <w:szCs w:val="24"/>
        </w:rPr>
        <w:t>.</w:t>
      </w:r>
      <w:r w:rsidR="00C47BF2">
        <w:rPr>
          <w:rFonts w:cs="Times New Roman"/>
          <w:szCs w:val="24"/>
        </w:rPr>
        <w:t xml:space="preserve"> </w:t>
      </w:r>
      <w:r w:rsidR="008C267F" w:rsidRPr="000053E9">
        <w:rPr>
          <w:rFonts w:cs="Times New Roman"/>
          <w:szCs w:val="24"/>
        </w:rPr>
        <w:t>The proposed method is used for</w:t>
      </w:r>
      <w:r w:rsidR="00C47BF2">
        <w:rPr>
          <w:rFonts w:cs="Times New Roman"/>
          <w:szCs w:val="24"/>
        </w:rPr>
        <w:t xml:space="preserve"> </w:t>
      </w:r>
      <w:r w:rsidR="00D73E69" w:rsidRPr="000053E9">
        <w:rPr>
          <w:rFonts w:cs="Times New Roman"/>
          <w:szCs w:val="24"/>
        </w:rPr>
        <w:t xml:space="preserve">solving </w:t>
      </w:r>
      <w:r w:rsidR="00167A7C" w:rsidRPr="000053E9">
        <w:rPr>
          <w:rFonts w:cs="Times New Roman"/>
          <w:szCs w:val="24"/>
        </w:rPr>
        <w:t>two versions of the problem</w:t>
      </w:r>
      <w:r w:rsidR="00F3626E">
        <w:rPr>
          <w:rFonts w:cs="Times New Roman"/>
          <w:szCs w:val="24"/>
        </w:rPr>
        <w:t>:</w:t>
      </w:r>
      <w:r w:rsidR="008C267F" w:rsidRPr="000053E9">
        <w:rPr>
          <w:rFonts w:cs="Times New Roman"/>
          <w:szCs w:val="24"/>
        </w:rPr>
        <w:t xml:space="preserve"> </w:t>
      </w:r>
      <w:r w:rsidR="00167A7C" w:rsidRPr="000053E9">
        <w:rPr>
          <w:rFonts w:cs="Times New Roman"/>
          <w:szCs w:val="24"/>
        </w:rPr>
        <w:t>one with a single transshipment location and another with multiple transshipment locations.</w:t>
      </w:r>
    </w:p>
    <w:p w:rsidR="00877A86" w:rsidRPr="002E6F00" w:rsidRDefault="00CD0867" w:rsidP="00F86EE1">
      <w:pPr>
        <w:autoSpaceDE w:val="0"/>
        <w:autoSpaceDN w:val="0"/>
        <w:adjustRightInd w:val="0"/>
        <w:spacing w:after="0"/>
        <w:ind w:firstLine="720"/>
        <w:jc w:val="both"/>
        <w:rPr>
          <w:rFonts w:cs="Times New Roman"/>
          <w:szCs w:val="24"/>
        </w:rPr>
      </w:pPr>
      <w:r w:rsidRPr="00880D09">
        <w:rPr>
          <w:rFonts w:cs="Times New Roman"/>
          <w:szCs w:val="24"/>
        </w:rPr>
        <w:t xml:space="preserve">Finally, </w:t>
      </w:r>
      <w:r w:rsidR="00B3700F">
        <w:rPr>
          <w:rFonts w:cs="Times New Roman"/>
          <w:szCs w:val="24"/>
        </w:rPr>
        <w:t>a</w:t>
      </w:r>
      <w:bookmarkStart w:id="103" w:name="OLE_LINK556"/>
      <w:bookmarkStart w:id="104" w:name="OLE_LINK557"/>
      <w:r w:rsidR="00DE5EFA">
        <w:rPr>
          <w:rFonts w:cs="Times New Roman"/>
          <w:szCs w:val="24"/>
        </w:rPr>
        <w:t xml:space="preserve"> </w:t>
      </w:r>
      <w:r w:rsidRPr="00880D09">
        <w:rPr>
          <w:rFonts w:cs="Times New Roman"/>
          <w:szCs w:val="24"/>
        </w:rPr>
        <w:t xml:space="preserve">limited </w:t>
      </w:r>
      <w:r w:rsidR="00B3700F">
        <w:rPr>
          <w:rFonts w:cs="Times New Roman"/>
          <w:szCs w:val="24"/>
        </w:rPr>
        <w:t xml:space="preserve">number of </w:t>
      </w:r>
      <w:r w:rsidR="006E2382">
        <w:rPr>
          <w:rFonts w:cs="Times New Roman"/>
          <w:szCs w:val="24"/>
        </w:rPr>
        <w:t>studies</w:t>
      </w:r>
      <w:r w:rsidR="00DE5EFA">
        <w:rPr>
          <w:rFonts w:cs="Times New Roman"/>
          <w:szCs w:val="24"/>
        </w:rPr>
        <w:t xml:space="preserve"> </w:t>
      </w:r>
      <w:r w:rsidR="006E2382">
        <w:rPr>
          <w:rFonts w:cs="Times New Roman"/>
          <w:szCs w:val="24"/>
        </w:rPr>
        <w:t>have</w:t>
      </w:r>
      <w:r w:rsidR="00B3700F">
        <w:rPr>
          <w:rFonts w:cs="Times New Roman"/>
          <w:szCs w:val="24"/>
        </w:rPr>
        <w:t xml:space="preserve"> appeared </w:t>
      </w:r>
      <w:r w:rsidRPr="00880D09">
        <w:rPr>
          <w:rFonts w:cs="Times New Roman"/>
          <w:szCs w:val="24"/>
        </w:rPr>
        <w:t>on mixed distribution schemes</w:t>
      </w:r>
      <w:r w:rsidR="00DE5EFA">
        <w:rPr>
          <w:rFonts w:cs="Times New Roman"/>
          <w:szCs w:val="24"/>
        </w:rPr>
        <w:t xml:space="preserve"> </w:t>
      </w:r>
      <w:r w:rsidRPr="00880D09">
        <w:rPr>
          <w:rFonts w:cs="Times New Roman"/>
          <w:szCs w:val="24"/>
        </w:rPr>
        <w:t>where both direct deliveries and deliveries via an intermediate transshipment</w:t>
      </w:r>
      <w:bookmarkEnd w:id="103"/>
      <w:bookmarkEnd w:id="104"/>
      <w:r w:rsidRPr="00880D09">
        <w:rPr>
          <w:rFonts w:cs="Times New Roman"/>
          <w:szCs w:val="24"/>
        </w:rPr>
        <w:t xml:space="preserve"> facility are considered. The </w:t>
      </w:r>
      <w:bookmarkStart w:id="105" w:name="OLE_LINK24"/>
      <w:bookmarkStart w:id="106" w:name="OLE_LINK25"/>
      <w:r w:rsidRPr="00880D09">
        <w:rPr>
          <w:rFonts w:cs="Times New Roman"/>
          <w:szCs w:val="24"/>
        </w:rPr>
        <w:t xml:space="preserve">Pickup and </w:t>
      </w:r>
      <w:bookmarkStart w:id="107" w:name="OLE_LINK414"/>
      <w:bookmarkStart w:id="108" w:name="OLE_LINK456"/>
      <w:r w:rsidRPr="00880D09">
        <w:rPr>
          <w:rFonts w:cs="Times New Roman"/>
          <w:szCs w:val="24"/>
        </w:rPr>
        <w:t xml:space="preserve">Delivery Problem with Cross-Docking </w:t>
      </w:r>
      <w:bookmarkEnd w:id="105"/>
      <w:bookmarkEnd w:id="106"/>
      <w:r w:rsidRPr="00880D09">
        <w:rPr>
          <w:rFonts w:cs="Times New Roman"/>
          <w:szCs w:val="24"/>
        </w:rPr>
        <w:t xml:space="preserve">(PDPCD) is </w:t>
      </w:r>
      <w:r w:rsidR="00196E52">
        <w:rPr>
          <w:rFonts w:cs="Times New Roman"/>
          <w:szCs w:val="24"/>
        </w:rPr>
        <w:t xml:space="preserve">an extension of the VRPCD </w:t>
      </w:r>
      <w:r w:rsidRPr="00880D09">
        <w:rPr>
          <w:rFonts w:cs="Times New Roman"/>
          <w:szCs w:val="24"/>
        </w:rPr>
        <w:t>where</w:t>
      </w:r>
      <w:bookmarkEnd w:id="107"/>
      <w:bookmarkEnd w:id="108"/>
      <w:r w:rsidR="00DE5EFA">
        <w:rPr>
          <w:rFonts w:cs="Times New Roman"/>
          <w:szCs w:val="24"/>
        </w:rPr>
        <w:t xml:space="preserve"> </w:t>
      </w:r>
      <w:r w:rsidR="00A43CF6">
        <w:rPr>
          <w:rFonts w:cs="Times New Roman"/>
          <w:szCs w:val="24"/>
        </w:rPr>
        <w:t xml:space="preserve">the constraint </w:t>
      </w:r>
      <w:r w:rsidR="00E8647A">
        <w:rPr>
          <w:rFonts w:cs="Times New Roman"/>
          <w:szCs w:val="24"/>
        </w:rPr>
        <w:t>requiring all</w:t>
      </w:r>
      <w:r w:rsidR="00A43CF6">
        <w:rPr>
          <w:rFonts w:cs="Times New Roman"/>
          <w:szCs w:val="24"/>
        </w:rPr>
        <w:t xml:space="preserve"> </w:t>
      </w:r>
      <w:r w:rsidR="001D54B7">
        <w:rPr>
          <w:rFonts w:cs="Times New Roman"/>
          <w:szCs w:val="24"/>
        </w:rPr>
        <w:t xml:space="preserve">vehicles </w:t>
      </w:r>
      <w:r w:rsidR="00E8647A">
        <w:rPr>
          <w:rFonts w:cs="Times New Roman"/>
          <w:szCs w:val="24"/>
        </w:rPr>
        <w:t xml:space="preserve">to visit 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A43CF6">
        <w:rPr>
          <w:rFonts w:cs="Times New Roman"/>
          <w:szCs w:val="24"/>
        </w:rPr>
        <w:t xml:space="preserve"> </w:t>
      </w:r>
      <w:r w:rsidR="006451BF">
        <w:rPr>
          <w:rFonts w:cs="Times New Roman"/>
          <w:szCs w:val="24"/>
        </w:rPr>
        <w:t xml:space="preserve">in between pickup and delivery routes </w:t>
      </w:r>
      <w:r w:rsidR="00A43CF6">
        <w:rPr>
          <w:rFonts w:cs="Times New Roman"/>
          <w:szCs w:val="24"/>
        </w:rPr>
        <w:t>is relaxed.</w:t>
      </w:r>
      <w:r w:rsidR="00DE5EFA">
        <w:rPr>
          <w:rFonts w:cs="Times New Roman"/>
          <w:szCs w:val="24"/>
        </w:rPr>
        <w:t xml:space="preserve"> </w:t>
      </w:r>
      <w:r w:rsidR="00E90898">
        <w:rPr>
          <w:rFonts w:cs="Times New Roman"/>
          <w:szCs w:val="24"/>
        </w:rPr>
        <w:t>In particular, a</w:t>
      </w:r>
      <w:r w:rsidR="00196E52">
        <w:rPr>
          <w:rFonts w:cs="Times New Roman"/>
          <w:szCs w:val="24"/>
        </w:rPr>
        <w:t xml:space="preserve"> request can be either directly delivered </w:t>
      </w:r>
      <w:r w:rsidR="00196E52" w:rsidRPr="00196E52">
        <w:rPr>
          <w:rFonts w:cs="Times New Roman"/>
          <w:szCs w:val="24"/>
        </w:rPr>
        <w:t xml:space="preserve">from </w:t>
      </w:r>
      <w:r w:rsidR="00A43CF6">
        <w:rPr>
          <w:rFonts w:cs="Times New Roman"/>
          <w:szCs w:val="24"/>
        </w:rPr>
        <w:t>its</w:t>
      </w:r>
      <w:r w:rsidR="00DE5EFA">
        <w:rPr>
          <w:rFonts w:cs="Times New Roman"/>
          <w:szCs w:val="24"/>
        </w:rPr>
        <w:t xml:space="preserve"> </w:t>
      </w:r>
      <w:r w:rsidR="00196E52" w:rsidRPr="00196E52">
        <w:rPr>
          <w:rFonts w:cs="Times New Roman"/>
          <w:szCs w:val="24"/>
        </w:rPr>
        <w:t xml:space="preserve">origin to </w:t>
      </w:r>
      <w:r w:rsidR="00A43CF6">
        <w:rPr>
          <w:rFonts w:cs="Times New Roman"/>
          <w:szCs w:val="24"/>
        </w:rPr>
        <w:t>its</w:t>
      </w:r>
      <w:r w:rsidR="00DE5EFA">
        <w:rPr>
          <w:rFonts w:cs="Times New Roman"/>
          <w:szCs w:val="24"/>
        </w:rPr>
        <w:t xml:space="preserve"> </w:t>
      </w:r>
      <w:r w:rsidR="00196E52" w:rsidRPr="00196E52">
        <w:rPr>
          <w:rFonts w:cs="Times New Roman"/>
          <w:szCs w:val="24"/>
        </w:rPr>
        <w:t xml:space="preserve">destination </w:t>
      </w:r>
      <w:r w:rsidR="00196E52">
        <w:rPr>
          <w:rFonts w:cs="Times New Roman"/>
          <w:szCs w:val="24"/>
        </w:rPr>
        <w:t>in one vehicle or,</w:t>
      </w:r>
      <w:r w:rsidR="00DE5EFA">
        <w:rPr>
          <w:rFonts w:cs="Times New Roman"/>
          <w:szCs w:val="24"/>
        </w:rPr>
        <w:t xml:space="preserve"> </w:t>
      </w:r>
      <w:r w:rsidR="00196E52" w:rsidRPr="00196E52">
        <w:rPr>
          <w:rFonts w:cs="Times New Roman"/>
          <w:szCs w:val="24"/>
        </w:rPr>
        <w:t xml:space="preserve">it can be picked up by one vehicle, transported to </w:t>
      </w:r>
      <w:r w:rsidR="00A43CF6">
        <w:rPr>
          <w:rFonts w:cs="Times New Roman"/>
          <w:szCs w:val="24"/>
        </w:rPr>
        <w:t xml:space="preserve">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35326B">
        <w:rPr>
          <w:rFonts w:cs="Times New Roman"/>
          <w:szCs w:val="24"/>
        </w:rPr>
        <w:t xml:space="preserve"> and delivered to its destination by another vehicle</w:t>
      </w:r>
      <w:r w:rsidRPr="00880D09">
        <w:rPr>
          <w:rFonts w:cs="Times New Roman"/>
          <w:szCs w:val="24"/>
        </w:rPr>
        <w:t>.</w:t>
      </w:r>
      <w:r w:rsidR="00DE5EFA">
        <w:rPr>
          <w:rFonts w:cs="Times New Roman"/>
          <w:szCs w:val="24"/>
        </w:rPr>
        <w:t xml:space="preserve"> </w:t>
      </w:r>
      <w:r w:rsidR="006C2158">
        <w:rPr>
          <w:rFonts w:cs="Times New Roman"/>
          <w:szCs w:val="24"/>
        </w:rPr>
        <w:t xml:space="preserve">The first </w:t>
      </w:r>
      <w:r w:rsidR="00EB18AB">
        <w:rPr>
          <w:rFonts w:cs="Times New Roman"/>
          <w:szCs w:val="24"/>
        </w:rPr>
        <w:t>study on a</w:t>
      </w:r>
      <w:r w:rsidR="006C2158">
        <w:rPr>
          <w:rFonts w:cs="Times New Roman"/>
          <w:szCs w:val="24"/>
        </w:rPr>
        <w:t xml:space="preserve"> practical</w:t>
      </w:r>
      <w:r w:rsidR="0057101F" w:rsidRPr="00880D09">
        <w:rPr>
          <w:rFonts w:cs="Times New Roman"/>
          <w:szCs w:val="24"/>
        </w:rPr>
        <w:t xml:space="preserve"> PDPCD </w:t>
      </w:r>
      <w:r w:rsidR="006C2158">
        <w:rPr>
          <w:rFonts w:cs="Times New Roman"/>
          <w:szCs w:val="24"/>
        </w:rPr>
        <w:t xml:space="preserve">application </w:t>
      </w:r>
      <w:r w:rsidR="0057101F" w:rsidRPr="00880D09">
        <w:rPr>
          <w:rFonts w:cs="Times New Roman"/>
          <w:szCs w:val="24"/>
        </w:rPr>
        <w:t xml:space="preserve">with time windows </w:t>
      </w:r>
      <w:r w:rsidR="00EB18AB">
        <w:rPr>
          <w:rFonts w:cs="Times New Roman"/>
          <w:szCs w:val="24"/>
        </w:rPr>
        <w:t xml:space="preserve">is presented </w:t>
      </w:r>
      <w:r w:rsidR="009C2735">
        <w:rPr>
          <w:rFonts w:cs="Times New Roman"/>
          <w:szCs w:val="24"/>
        </w:rPr>
        <w:t xml:space="preserve">by </w:t>
      </w:r>
      <w:r w:rsidR="00766365" w:rsidRPr="00880D09">
        <w:rPr>
          <w:rFonts w:cs="Times New Roman"/>
          <w:szCs w:val="24"/>
        </w:rPr>
        <w:t xml:space="preserve">Petersen and </w:t>
      </w:r>
      <w:proofErr w:type="spellStart"/>
      <w:r w:rsidR="00766365" w:rsidRPr="00880D09">
        <w:rPr>
          <w:rFonts w:cs="Times New Roman"/>
          <w:szCs w:val="24"/>
        </w:rPr>
        <w:t>Ropke</w:t>
      </w:r>
      <w:proofErr w:type="spellEnd"/>
      <w:r w:rsidR="00DE5EFA">
        <w:rPr>
          <w:rFonts w:cs="Times New Roman"/>
          <w:szCs w:val="24"/>
        </w:rPr>
        <w:t xml:space="preserve"> </w:t>
      </w:r>
      <w:r w:rsidR="00E162AC">
        <w:rPr>
          <w:rFonts w:cs="Times New Roman"/>
          <w:szCs w:val="24"/>
        </w:rPr>
        <w:t>(</w:t>
      </w:r>
      <w:r w:rsidR="00082E10">
        <w:rPr>
          <w:rFonts w:cs="Times New Roman"/>
          <w:szCs w:val="24"/>
        </w:rPr>
        <w:t>2011</w:t>
      </w:r>
      <w:r w:rsidR="00E162AC">
        <w:rPr>
          <w:rFonts w:cs="Times New Roman"/>
          <w:szCs w:val="24"/>
        </w:rPr>
        <w:t>)</w:t>
      </w:r>
      <w:r w:rsidR="0057101F">
        <w:rPr>
          <w:rFonts w:cs="Times New Roman"/>
          <w:szCs w:val="24"/>
        </w:rPr>
        <w:t>.</w:t>
      </w:r>
      <w:r w:rsidR="00A55B72">
        <w:rPr>
          <w:rFonts w:cs="Times New Roman"/>
          <w:szCs w:val="24"/>
        </w:rPr>
        <w:t xml:space="preserve"> </w:t>
      </w:r>
      <w:r w:rsidR="00A61D23">
        <w:rPr>
          <w:rFonts w:cs="Times New Roman"/>
          <w:szCs w:val="24"/>
        </w:rPr>
        <w:t>A</w:t>
      </w:r>
      <w:r w:rsidR="00DE5EFA">
        <w:rPr>
          <w:rFonts w:cs="Times New Roman"/>
          <w:szCs w:val="24"/>
        </w:rPr>
        <w:t xml:space="preserve"> </w:t>
      </w:r>
      <w:r w:rsidR="00F13883">
        <w:rPr>
          <w:rFonts w:cs="Times New Roman"/>
          <w:szCs w:val="24"/>
        </w:rPr>
        <w:t>L</w:t>
      </w:r>
      <w:r w:rsidR="00EC15AA" w:rsidRPr="0038412C">
        <w:rPr>
          <w:rFonts w:cs="Times New Roman"/>
          <w:szCs w:val="24"/>
        </w:rPr>
        <w:t xml:space="preserve">arge </w:t>
      </w:r>
      <w:r w:rsidR="00F13883">
        <w:rPr>
          <w:rFonts w:cs="Times New Roman"/>
          <w:szCs w:val="24"/>
        </w:rPr>
        <w:t>N</w:t>
      </w:r>
      <w:r w:rsidR="00EC15AA" w:rsidRPr="0038412C">
        <w:rPr>
          <w:rFonts w:cs="Times New Roman"/>
          <w:szCs w:val="24"/>
        </w:rPr>
        <w:t xml:space="preserve">eighborhood </w:t>
      </w:r>
      <w:r w:rsidR="00F13883">
        <w:rPr>
          <w:rFonts w:cs="Times New Roman"/>
          <w:szCs w:val="24"/>
        </w:rPr>
        <w:t>S</w:t>
      </w:r>
      <w:r w:rsidR="00EC15AA" w:rsidRPr="0038412C">
        <w:rPr>
          <w:rFonts w:cs="Times New Roman"/>
          <w:szCs w:val="24"/>
        </w:rPr>
        <w:t xml:space="preserve">earch </w:t>
      </w:r>
      <w:r w:rsidR="0079027D">
        <w:rPr>
          <w:rFonts w:cs="Times New Roman"/>
          <w:szCs w:val="24"/>
        </w:rPr>
        <w:t>metaheuristic algorithm</w:t>
      </w:r>
      <w:r w:rsidR="00EC15AA" w:rsidRPr="0038412C">
        <w:rPr>
          <w:rFonts w:cs="Times New Roman"/>
          <w:szCs w:val="24"/>
        </w:rPr>
        <w:t xml:space="preserve"> </w:t>
      </w:r>
      <w:r w:rsidR="006446CB">
        <w:rPr>
          <w:rFonts w:cs="Times New Roman"/>
          <w:szCs w:val="24"/>
        </w:rPr>
        <w:t>is</w:t>
      </w:r>
      <w:r w:rsidR="00A61D23">
        <w:rPr>
          <w:rFonts w:cs="Times New Roman"/>
          <w:szCs w:val="24"/>
        </w:rPr>
        <w:t xml:space="preserve"> developed </w:t>
      </w:r>
      <w:r w:rsidR="00EC15AA" w:rsidRPr="0038412C">
        <w:rPr>
          <w:rFonts w:cs="Times New Roman"/>
          <w:szCs w:val="24"/>
        </w:rPr>
        <w:t xml:space="preserve">to </w:t>
      </w:r>
      <w:bookmarkStart w:id="109" w:name="OLE_LINK29"/>
      <w:bookmarkStart w:id="110" w:name="OLE_LINK30"/>
      <w:r w:rsidR="0057101F">
        <w:rPr>
          <w:rFonts w:cs="Times New Roman"/>
          <w:szCs w:val="24"/>
        </w:rPr>
        <w:t xml:space="preserve">solve </w:t>
      </w:r>
      <w:r w:rsidR="00745E7A">
        <w:rPr>
          <w:rFonts w:cs="Times New Roman"/>
          <w:szCs w:val="24"/>
        </w:rPr>
        <w:t xml:space="preserve">real </w:t>
      </w:r>
      <w:r w:rsidR="006446CB">
        <w:rPr>
          <w:rFonts w:cs="Times New Roman"/>
          <w:szCs w:val="24"/>
        </w:rPr>
        <w:t>instances</w:t>
      </w:r>
      <w:bookmarkEnd w:id="109"/>
      <w:bookmarkEnd w:id="110"/>
      <w:r w:rsidR="00DE5EFA">
        <w:rPr>
          <w:rFonts w:cs="Times New Roman"/>
          <w:szCs w:val="24"/>
        </w:rPr>
        <w:t xml:space="preserve"> </w:t>
      </w:r>
      <w:r w:rsidR="00F13883">
        <w:rPr>
          <w:rFonts w:cs="Times New Roman"/>
          <w:szCs w:val="24"/>
        </w:rPr>
        <w:t xml:space="preserve">from a transportation company </w:t>
      </w:r>
      <w:r w:rsidR="0015233B">
        <w:rPr>
          <w:rFonts w:cs="Times New Roman"/>
          <w:szCs w:val="24"/>
        </w:rPr>
        <w:t xml:space="preserve">with 500-1000 requests, </w:t>
      </w:r>
      <w:r w:rsidR="00B61B20">
        <w:rPr>
          <w:rFonts w:cs="Times New Roman"/>
          <w:szCs w:val="24"/>
        </w:rPr>
        <w:t>aiming to minimize</w:t>
      </w:r>
      <w:r w:rsidR="00DE5EFA">
        <w:rPr>
          <w:rFonts w:cs="Times New Roman"/>
          <w:szCs w:val="24"/>
        </w:rPr>
        <w:t xml:space="preserve"> </w:t>
      </w:r>
      <w:r w:rsidR="00EC15AA" w:rsidRPr="0097398B">
        <w:rPr>
          <w:rFonts w:cs="Times New Roman"/>
          <w:szCs w:val="24"/>
        </w:rPr>
        <w:t>the total transportation cost</w:t>
      </w:r>
      <w:r w:rsidR="00343891">
        <w:rPr>
          <w:rFonts w:cs="Times New Roman"/>
          <w:szCs w:val="24"/>
        </w:rPr>
        <w:t>s</w:t>
      </w:r>
      <w:r w:rsidR="00EC15AA" w:rsidRPr="0097398B">
        <w:rPr>
          <w:rFonts w:cs="Times New Roman"/>
          <w:szCs w:val="24"/>
        </w:rPr>
        <w:t>.</w:t>
      </w:r>
      <w:r w:rsidR="00DE5EFA">
        <w:rPr>
          <w:rFonts w:cs="Times New Roman"/>
          <w:szCs w:val="24"/>
        </w:rPr>
        <w:t xml:space="preserve"> </w:t>
      </w:r>
      <w:r w:rsidR="001E57A3">
        <w:rPr>
          <w:rFonts w:cs="Times New Roman"/>
          <w:szCs w:val="24"/>
        </w:rPr>
        <w:t xml:space="preserve">More recently, </w:t>
      </w:r>
      <w:bookmarkStart w:id="111" w:name="OLE_LINK932"/>
      <w:bookmarkStart w:id="112" w:name="OLE_LINK933"/>
      <w:r w:rsidR="004147EB">
        <w:rPr>
          <w:rFonts w:cs="Times New Roman"/>
          <w:szCs w:val="24"/>
        </w:rPr>
        <w:t xml:space="preserve">Santos et al. </w:t>
      </w:r>
      <w:r w:rsidR="007B7F08">
        <w:rPr>
          <w:rFonts w:cs="Times New Roman"/>
          <w:szCs w:val="24"/>
        </w:rPr>
        <w:t xml:space="preserve">(2013) </w:t>
      </w:r>
      <w:r w:rsidR="001E57A3">
        <w:rPr>
          <w:rFonts w:cs="Times New Roman"/>
          <w:szCs w:val="24"/>
        </w:rPr>
        <w:t xml:space="preserve">have studied </w:t>
      </w:r>
      <w:r w:rsidR="004147EB">
        <w:rPr>
          <w:rFonts w:cs="Times New Roman"/>
          <w:szCs w:val="24"/>
        </w:rPr>
        <w:t>the</w:t>
      </w:r>
      <w:r w:rsidR="00327D6F" w:rsidRPr="0097398B">
        <w:rPr>
          <w:rFonts w:cs="Times New Roman"/>
          <w:szCs w:val="24"/>
        </w:rPr>
        <w:t xml:space="preserve"> PDPCD without time window constraints</w:t>
      </w:r>
      <w:r w:rsidR="00A61D23">
        <w:rPr>
          <w:rFonts w:cs="Times New Roman"/>
          <w:szCs w:val="24"/>
        </w:rPr>
        <w:t>.</w:t>
      </w:r>
      <w:bookmarkEnd w:id="111"/>
      <w:bookmarkEnd w:id="112"/>
      <w:r w:rsidR="00DE5EFA">
        <w:rPr>
          <w:rFonts w:cs="Times New Roman"/>
          <w:szCs w:val="24"/>
        </w:rPr>
        <w:t xml:space="preserve"> </w:t>
      </w:r>
      <w:r w:rsidR="00581834" w:rsidRPr="0079245D">
        <w:rPr>
          <w:rFonts w:cs="Times New Roman"/>
          <w:szCs w:val="24"/>
        </w:rPr>
        <w:t xml:space="preserve">The objective in this work </w:t>
      </w:r>
      <w:bookmarkStart w:id="113" w:name="OLE_LINK31"/>
      <w:bookmarkStart w:id="114" w:name="OLE_LINK32"/>
      <w:bookmarkStart w:id="115" w:name="OLE_LINK33"/>
      <w:r w:rsidR="00581834">
        <w:rPr>
          <w:rFonts w:cs="Times New Roman"/>
          <w:szCs w:val="24"/>
        </w:rPr>
        <w:t>is</w:t>
      </w:r>
      <w:bookmarkEnd w:id="113"/>
      <w:bookmarkEnd w:id="114"/>
      <w:bookmarkEnd w:id="115"/>
      <w:r w:rsidR="00DE5EFA">
        <w:rPr>
          <w:rFonts w:cs="Times New Roman"/>
          <w:szCs w:val="24"/>
        </w:rPr>
        <w:t xml:space="preserve"> </w:t>
      </w:r>
      <w:r w:rsidR="00581834" w:rsidRPr="0079245D">
        <w:rPr>
          <w:rFonts w:cs="Times New Roman"/>
          <w:szCs w:val="24"/>
        </w:rPr>
        <w:t xml:space="preserve">the minimization of the transportation costs plus the sum of the costs of changing loads at the </w:t>
      </w:r>
      <w:r w:rsidR="00C26AD2" w:rsidRPr="0097398B">
        <w:rPr>
          <w:rFonts w:cs="Times New Roman"/>
          <w:szCs w:val="24"/>
        </w:rPr>
        <w:t>cross</w:t>
      </w:r>
      <w:r w:rsidR="00C26AD2">
        <w:rPr>
          <w:rFonts w:cs="Times New Roman"/>
          <w:szCs w:val="24"/>
        </w:rPr>
        <w:t>-</w:t>
      </w:r>
      <w:r w:rsidR="00C26AD2" w:rsidRPr="0097398B">
        <w:rPr>
          <w:rFonts w:cs="Times New Roman"/>
          <w:szCs w:val="24"/>
        </w:rPr>
        <w:t>dock</w:t>
      </w:r>
      <w:r w:rsidR="00581834" w:rsidRPr="0079245D">
        <w:rPr>
          <w:rFonts w:cs="Times New Roman"/>
          <w:szCs w:val="24"/>
        </w:rPr>
        <w:t>.</w:t>
      </w:r>
      <w:r w:rsidR="00DE5EFA">
        <w:rPr>
          <w:rFonts w:cs="Times New Roman"/>
          <w:szCs w:val="24"/>
        </w:rPr>
        <w:t xml:space="preserve"> </w:t>
      </w:r>
      <w:r w:rsidR="00410F37">
        <w:rPr>
          <w:rFonts w:cs="Times New Roman"/>
          <w:szCs w:val="24"/>
        </w:rPr>
        <w:t>A</w:t>
      </w:r>
      <w:r w:rsidR="00DE5EFA">
        <w:rPr>
          <w:rFonts w:cs="Times New Roman"/>
          <w:szCs w:val="24"/>
        </w:rPr>
        <w:t xml:space="preserve"> </w:t>
      </w:r>
      <w:r w:rsidR="00413A85" w:rsidRPr="0097398B">
        <w:rPr>
          <w:rFonts w:cs="Times New Roman"/>
          <w:szCs w:val="24"/>
        </w:rPr>
        <w:t>Branch-and-</w:t>
      </w:r>
      <w:r w:rsidR="00626F4B">
        <w:rPr>
          <w:rFonts w:cs="Times New Roman"/>
          <w:szCs w:val="24"/>
        </w:rPr>
        <w:t>P</w:t>
      </w:r>
      <w:r w:rsidR="00413A85" w:rsidRPr="0097398B">
        <w:rPr>
          <w:rFonts w:cs="Times New Roman"/>
          <w:szCs w:val="24"/>
        </w:rPr>
        <w:t xml:space="preserve">rice </w:t>
      </w:r>
      <w:r w:rsidR="0079027D">
        <w:rPr>
          <w:rFonts w:cs="Times New Roman"/>
          <w:szCs w:val="24"/>
        </w:rPr>
        <w:t>method</w:t>
      </w:r>
      <w:r w:rsidR="00413A85" w:rsidRPr="0097398B">
        <w:rPr>
          <w:rFonts w:cs="Times New Roman"/>
          <w:szCs w:val="24"/>
        </w:rPr>
        <w:t xml:space="preserve"> </w:t>
      </w:r>
      <w:r w:rsidR="00410F37">
        <w:rPr>
          <w:rFonts w:cs="Times New Roman"/>
          <w:szCs w:val="24"/>
        </w:rPr>
        <w:t xml:space="preserve">is </w:t>
      </w:r>
      <w:r w:rsidR="007B7F08">
        <w:rPr>
          <w:rFonts w:cs="Times New Roman"/>
          <w:szCs w:val="24"/>
        </w:rPr>
        <w:t>developed</w:t>
      </w:r>
      <w:r w:rsidR="00410F37">
        <w:rPr>
          <w:rFonts w:cs="Times New Roman"/>
          <w:szCs w:val="24"/>
        </w:rPr>
        <w:t xml:space="preserve"> for </w:t>
      </w:r>
      <w:r w:rsidR="00413A85" w:rsidRPr="0079245D">
        <w:rPr>
          <w:rFonts w:cs="Times New Roman"/>
          <w:szCs w:val="24"/>
        </w:rPr>
        <w:t>evalua</w:t>
      </w:r>
      <w:r w:rsidR="006C2158">
        <w:rPr>
          <w:rFonts w:cs="Times New Roman"/>
          <w:szCs w:val="24"/>
        </w:rPr>
        <w:t>ting</w:t>
      </w:r>
      <w:r w:rsidR="00413A85" w:rsidRPr="0079245D">
        <w:rPr>
          <w:rFonts w:cs="Times New Roman"/>
          <w:szCs w:val="24"/>
        </w:rPr>
        <w:t xml:space="preserve"> the contribution</w:t>
      </w:r>
      <w:r w:rsidR="00CB7232" w:rsidRPr="0079245D">
        <w:rPr>
          <w:rFonts w:cs="Times New Roman"/>
          <w:szCs w:val="24"/>
        </w:rPr>
        <w:t xml:space="preserve"> of </w:t>
      </w:r>
      <w:r w:rsidR="00A20145">
        <w:rPr>
          <w:rFonts w:cs="Times New Roman"/>
          <w:szCs w:val="24"/>
        </w:rPr>
        <w:t>direct</w:t>
      </w:r>
      <w:r w:rsidR="00CB7232" w:rsidRPr="0079245D">
        <w:rPr>
          <w:rFonts w:cs="Times New Roman"/>
          <w:szCs w:val="24"/>
        </w:rPr>
        <w:t xml:space="preserve"> routes </w:t>
      </w:r>
      <w:r w:rsidR="00413A85" w:rsidRPr="0079245D">
        <w:rPr>
          <w:rFonts w:cs="Times New Roman"/>
          <w:szCs w:val="24"/>
        </w:rPr>
        <w:t xml:space="preserve">in the total </w:t>
      </w:r>
      <w:r w:rsidR="00A20145">
        <w:rPr>
          <w:rFonts w:cs="Times New Roman"/>
          <w:szCs w:val="24"/>
        </w:rPr>
        <w:t xml:space="preserve">transportation </w:t>
      </w:r>
      <w:r w:rsidR="00413A85" w:rsidRPr="0079245D">
        <w:rPr>
          <w:rFonts w:cs="Times New Roman"/>
          <w:szCs w:val="24"/>
        </w:rPr>
        <w:t>cost</w:t>
      </w:r>
      <w:r w:rsidR="00A20145">
        <w:rPr>
          <w:rFonts w:cs="Times New Roman"/>
          <w:szCs w:val="24"/>
        </w:rPr>
        <w:t>s</w:t>
      </w:r>
      <w:r w:rsidR="0015233B">
        <w:rPr>
          <w:rFonts w:cs="Times New Roman"/>
          <w:szCs w:val="24"/>
        </w:rPr>
        <w:t xml:space="preserve"> for </w:t>
      </w:r>
      <w:r w:rsidR="00745E7A">
        <w:rPr>
          <w:rFonts w:cs="Times New Roman"/>
          <w:szCs w:val="24"/>
        </w:rPr>
        <w:t>smaller size instances</w:t>
      </w:r>
      <w:r w:rsidR="0015233B">
        <w:rPr>
          <w:rFonts w:cs="Times New Roman"/>
          <w:szCs w:val="24"/>
        </w:rPr>
        <w:t xml:space="preserve"> with up to 30 requests</w:t>
      </w:r>
      <w:r w:rsidR="00CB7232" w:rsidRPr="0079245D">
        <w:rPr>
          <w:rFonts w:cs="Times New Roman"/>
          <w:szCs w:val="24"/>
        </w:rPr>
        <w:t>.</w:t>
      </w:r>
    </w:p>
    <w:p w:rsidR="007064D1" w:rsidRDefault="00AD7A33" w:rsidP="00F86EE1">
      <w:pPr>
        <w:autoSpaceDE w:val="0"/>
        <w:autoSpaceDN w:val="0"/>
        <w:adjustRightInd w:val="0"/>
        <w:spacing w:after="0"/>
        <w:ind w:firstLine="720"/>
        <w:jc w:val="both"/>
        <w:rPr>
          <w:rFonts w:cs="Times New Roman"/>
          <w:szCs w:val="24"/>
        </w:rPr>
      </w:pPr>
      <w:bookmarkStart w:id="116" w:name="OLE_LINK388"/>
      <w:bookmarkStart w:id="117" w:name="OLE_LINK389"/>
      <w:bookmarkStart w:id="118" w:name="OLE_LINK390"/>
      <w:r>
        <w:rPr>
          <w:rFonts w:cs="Times New Roman"/>
          <w:szCs w:val="24"/>
        </w:rPr>
        <w:lastRenderedPageBreak/>
        <w:t xml:space="preserve">While </w:t>
      </w:r>
      <w:r w:rsidR="00CC4B02">
        <w:rPr>
          <w:rFonts w:cs="Times New Roman"/>
          <w:szCs w:val="24"/>
        </w:rPr>
        <w:t>the PDP and VRPCD have been studied in depth</w:t>
      </w:r>
      <w:r>
        <w:rPr>
          <w:rFonts w:cs="Times New Roman"/>
          <w:szCs w:val="24"/>
        </w:rPr>
        <w:t>,</w:t>
      </w:r>
      <w:r w:rsidR="00745E7A">
        <w:rPr>
          <w:rFonts w:cs="Times New Roman"/>
          <w:szCs w:val="24"/>
        </w:rPr>
        <w:t xml:space="preserve"> </w:t>
      </w:r>
      <w:r w:rsidR="00CC1117">
        <w:rPr>
          <w:rFonts w:cs="Times New Roman"/>
          <w:szCs w:val="24"/>
        </w:rPr>
        <w:t>a comparative</w:t>
      </w:r>
      <w:r w:rsidR="00167006">
        <w:rPr>
          <w:rFonts w:cs="Times New Roman"/>
          <w:szCs w:val="24"/>
        </w:rPr>
        <w:t xml:space="preserve"> </w:t>
      </w:r>
      <w:r w:rsidR="00CC1117">
        <w:rPr>
          <w:rFonts w:cs="Times New Roman"/>
          <w:szCs w:val="24"/>
        </w:rPr>
        <w:t xml:space="preserve">analysis </w:t>
      </w:r>
      <w:r w:rsidR="00DC5E3E" w:rsidRPr="00AD578C">
        <w:rPr>
          <w:rFonts w:cs="Times New Roman"/>
          <w:szCs w:val="24"/>
        </w:rPr>
        <w:t xml:space="preserve">between the </w:t>
      </w:r>
      <w:r w:rsidR="0079027D">
        <w:rPr>
          <w:rFonts w:cs="Times New Roman"/>
          <w:szCs w:val="24"/>
        </w:rPr>
        <w:t xml:space="preserve">direct shipping and the cross-docking </w:t>
      </w:r>
      <w:r w:rsidR="009B0DA6">
        <w:rPr>
          <w:rFonts w:cs="Times New Roman"/>
          <w:szCs w:val="24"/>
        </w:rPr>
        <w:t xml:space="preserve">strategies </w:t>
      </w:r>
      <w:r w:rsidR="00CC1117">
        <w:rPr>
          <w:rFonts w:cs="Times New Roman"/>
          <w:szCs w:val="24"/>
        </w:rPr>
        <w:t xml:space="preserve">does not appear in the literature. </w:t>
      </w:r>
      <w:r w:rsidR="00DC5E3E" w:rsidRPr="00AD578C">
        <w:rPr>
          <w:rFonts w:cs="Times New Roman"/>
          <w:szCs w:val="24"/>
        </w:rPr>
        <w:t>Furthermor</w:t>
      </w:r>
      <w:r w:rsidR="00CC1117">
        <w:rPr>
          <w:rFonts w:cs="Times New Roman"/>
          <w:szCs w:val="24"/>
        </w:rPr>
        <w:t>e, to the best of our knowledge</w:t>
      </w:r>
      <w:r w:rsidR="008605ED">
        <w:rPr>
          <w:rFonts w:cs="Times New Roman"/>
          <w:szCs w:val="24"/>
        </w:rPr>
        <w:t>,</w:t>
      </w:r>
      <w:r w:rsidR="00DC5E3E" w:rsidRPr="00AD578C">
        <w:rPr>
          <w:rFonts w:cs="Times New Roman"/>
          <w:szCs w:val="24"/>
        </w:rPr>
        <w:t xml:space="preserve"> </w:t>
      </w:r>
      <w:r w:rsidR="008605ED">
        <w:rPr>
          <w:rFonts w:cs="Times New Roman"/>
          <w:szCs w:val="24"/>
        </w:rPr>
        <w:t xml:space="preserve">the effect of </w:t>
      </w:r>
      <w:r w:rsidR="008605ED" w:rsidRPr="00AD578C">
        <w:rPr>
          <w:rFonts w:cs="Times New Roman"/>
          <w:szCs w:val="24"/>
        </w:rPr>
        <w:t>distr</w:t>
      </w:r>
      <w:r w:rsidR="008605ED">
        <w:rPr>
          <w:rFonts w:cs="Times New Roman"/>
          <w:szCs w:val="24"/>
        </w:rPr>
        <w:t xml:space="preserve">ibution network characteristics </w:t>
      </w:r>
      <w:r w:rsidR="008605ED" w:rsidRPr="00AD578C">
        <w:rPr>
          <w:rFonts w:cs="Times New Roman"/>
          <w:szCs w:val="24"/>
        </w:rPr>
        <w:t xml:space="preserve">on the </w:t>
      </w:r>
      <w:r w:rsidR="008605ED">
        <w:rPr>
          <w:rFonts w:cs="Times New Roman"/>
          <w:szCs w:val="24"/>
        </w:rPr>
        <w:t>routing costs incurred by each strategy</w:t>
      </w:r>
      <w:r w:rsidR="008605ED" w:rsidRPr="00AD578C">
        <w:rPr>
          <w:rFonts w:cs="Times New Roman"/>
          <w:szCs w:val="24"/>
        </w:rPr>
        <w:t xml:space="preserve"> </w:t>
      </w:r>
      <w:bookmarkStart w:id="119" w:name="OLE_LINK498"/>
      <w:bookmarkStart w:id="120" w:name="OLE_LINK504"/>
      <w:bookmarkStart w:id="121" w:name="OLE_LINK505"/>
      <w:bookmarkStart w:id="122" w:name="OLE_LINK506"/>
      <w:r w:rsidR="008605ED">
        <w:rPr>
          <w:rFonts w:cs="Times New Roman"/>
          <w:szCs w:val="24"/>
        </w:rPr>
        <w:t>has not yet been investigated</w:t>
      </w:r>
      <w:r w:rsidR="00AD578C" w:rsidRPr="00AD578C">
        <w:rPr>
          <w:rFonts w:cs="Times New Roman"/>
          <w:szCs w:val="24"/>
        </w:rPr>
        <w:t>.</w:t>
      </w:r>
      <w:bookmarkEnd w:id="119"/>
      <w:bookmarkEnd w:id="120"/>
      <w:bookmarkEnd w:id="121"/>
      <w:bookmarkEnd w:id="122"/>
      <w:r w:rsidR="00167006">
        <w:rPr>
          <w:rFonts w:cs="Times New Roman"/>
          <w:szCs w:val="24"/>
        </w:rPr>
        <w:t xml:space="preserve"> </w:t>
      </w:r>
      <w:r w:rsidR="005F7C65">
        <w:rPr>
          <w:rFonts w:cs="Times New Roman"/>
          <w:szCs w:val="24"/>
        </w:rPr>
        <w:t>To f</w:t>
      </w:r>
      <w:r w:rsidR="004252A0">
        <w:rPr>
          <w:rFonts w:cs="Times New Roman"/>
          <w:szCs w:val="24"/>
        </w:rPr>
        <w:t>il</w:t>
      </w:r>
      <w:r w:rsidR="005F7C65">
        <w:rPr>
          <w:rFonts w:cs="Times New Roman"/>
          <w:szCs w:val="24"/>
        </w:rPr>
        <w:t>l this gap, t</w:t>
      </w:r>
      <w:r w:rsidR="004252A0">
        <w:rPr>
          <w:rFonts w:cs="Times New Roman"/>
          <w:szCs w:val="24"/>
        </w:rPr>
        <w:t xml:space="preserve">he present </w:t>
      </w:r>
      <w:r w:rsidR="005F7C65">
        <w:rPr>
          <w:rFonts w:cs="Times New Roman"/>
          <w:szCs w:val="24"/>
        </w:rPr>
        <w:t xml:space="preserve">work aims at examining the </w:t>
      </w:r>
      <w:r w:rsidR="004252A0">
        <w:rPr>
          <w:rFonts w:cs="Times New Roman"/>
          <w:szCs w:val="24"/>
        </w:rPr>
        <w:t xml:space="preserve">relative </w:t>
      </w:r>
      <w:r w:rsidR="005F7C65">
        <w:rPr>
          <w:rFonts w:cs="Times New Roman"/>
          <w:szCs w:val="24"/>
        </w:rPr>
        <w:t xml:space="preserve">suitability of </w:t>
      </w:r>
      <w:r w:rsidR="0079027D">
        <w:rPr>
          <w:rFonts w:cs="Times New Roman"/>
          <w:szCs w:val="24"/>
        </w:rPr>
        <w:t xml:space="preserve">each distribution strategy </w:t>
      </w:r>
      <w:r w:rsidR="00626F4B">
        <w:rPr>
          <w:rFonts w:cs="Times New Roman"/>
          <w:szCs w:val="24"/>
        </w:rPr>
        <w:t xml:space="preserve">in terms of </w:t>
      </w:r>
      <w:r w:rsidR="0079027D">
        <w:rPr>
          <w:rFonts w:cs="Times New Roman"/>
          <w:szCs w:val="24"/>
        </w:rPr>
        <w:t>transportation</w:t>
      </w:r>
      <w:r w:rsidR="00626F4B">
        <w:rPr>
          <w:rFonts w:cs="Times New Roman"/>
          <w:szCs w:val="24"/>
        </w:rPr>
        <w:t xml:space="preserve"> costs</w:t>
      </w:r>
      <w:r w:rsidR="00CC1117">
        <w:rPr>
          <w:rFonts w:cs="Times New Roman"/>
          <w:szCs w:val="24"/>
        </w:rPr>
        <w:t xml:space="preserve"> for </w:t>
      </w:r>
      <w:r w:rsidR="005F7C65">
        <w:rPr>
          <w:rFonts w:cs="Times New Roman"/>
          <w:szCs w:val="24"/>
        </w:rPr>
        <w:t xml:space="preserve">different </w:t>
      </w:r>
      <w:r w:rsidR="00AB079A" w:rsidRPr="00AD578C">
        <w:rPr>
          <w:rFonts w:cs="Times New Roman"/>
          <w:szCs w:val="24"/>
        </w:rPr>
        <w:t xml:space="preserve">network </w:t>
      </w:r>
      <w:r w:rsidR="00CC1117">
        <w:rPr>
          <w:rFonts w:cs="Times New Roman"/>
          <w:szCs w:val="24"/>
        </w:rPr>
        <w:t>configurations</w:t>
      </w:r>
      <w:r w:rsidR="005F7C65">
        <w:rPr>
          <w:rFonts w:cs="Times New Roman"/>
          <w:szCs w:val="24"/>
        </w:rPr>
        <w:t xml:space="preserve">. </w:t>
      </w:r>
      <w:r w:rsidR="009733A8" w:rsidRPr="00AD578C">
        <w:rPr>
          <w:rFonts w:cs="Times New Roman"/>
          <w:szCs w:val="24"/>
        </w:rPr>
        <w:t>We</w:t>
      </w:r>
      <w:r w:rsidR="00343F60" w:rsidRPr="00AD578C">
        <w:rPr>
          <w:rFonts w:cs="Times New Roman"/>
          <w:szCs w:val="24"/>
        </w:rPr>
        <w:t xml:space="preserve"> address this issue</w:t>
      </w:r>
      <w:r w:rsidR="00167006">
        <w:rPr>
          <w:rFonts w:cs="Times New Roman"/>
          <w:szCs w:val="24"/>
        </w:rPr>
        <w:t xml:space="preserve"> </w:t>
      </w:r>
      <w:r w:rsidR="00CC1117">
        <w:rPr>
          <w:rFonts w:cs="Times New Roman"/>
          <w:szCs w:val="24"/>
        </w:rPr>
        <w:t>through</w:t>
      </w:r>
      <w:r w:rsidR="00343F60" w:rsidRPr="00AD578C">
        <w:rPr>
          <w:rFonts w:cs="Times New Roman"/>
          <w:szCs w:val="24"/>
        </w:rPr>
        <w:t xml:space="preserve"> an </w:t>
      </w:r>
      <w:r w:rsidR="009733A8" w:rsidRPr="00AD578C">
        <w:rPr>
          <w:rFonts w:cs="Times New Roman"/>
          <w:szCs w:val="24"/>
        </w:rPr>
        <w:t>analysis that</w:t>
      </w:r>
      <w:r w:rsidR="00343F60" w:rsidRPr="00AD578C">
        <w:rPr>
          <w:rFonts w:cs="Times New Roman"/>
          <w:szCs w:val="24"/>
        </w:rPr>
        <w:t xml:space="preserve"> examines the impact of </w:t>
      </w:r>
      <w:r w:rsidR="00AB079A" w:rsidRPr="00AD578C">
        <w:rPr>
          <w:rFonts w:cs="Times New Roman"/>
          <w:szCs w:val="24"/>
        </w:rPr>
        <w:t xml:space="preserve">several </w:t>
      </w:r>
      <w:bookmarkStart w:id="123" w:name="OLE_LINK782"/>
      <w:bookmarkStart w:id="124" w:name="OLE_LINK783"/>
      <w:bookmarkStart w:id="125" w:name="OLE_LINK784"/>
      <w:r w:rsidR="00AB079A" w:rsidRPr="00AD578C">
        <w:rPr>
          <w:rFonts w:cs="Times New Roman"/>
          <w:szCs w:val="24"/>
        </w:rPr>
        <w:t xml:space="preserve">spatial and temporal parameters </w:t>
      </w:r>
      <w:r w:rsidR="00733AD6" w:rsidRPr="00AD578C">
        <w:rPr>
          <w:rFonts w:cs="Times New Roman"/>
          <w:szCs w:val="24"/>
        </w:rPr>
        <w:t>on</w:t>
      </w:r>
      <w:r w:rsidR="00F02D53">
        <w:rPr>
          <w:rFonts w:cs="Times New Roman"/>
          <w:szCs w:val="24"/>
        </w:rPr>
        <w:t xml:space="preserve"> the </w:t>
      </w:r>
      <w:r w:rsidR="003F7198">
        <w:rPr>
          <w:rFonts w:cs="Times New Roman"/>
          <w:szCs w:val="24"/>
        </w:rPr>
        <w:t xml:space="preserve">total </w:t>
      </w:r>
      <w:r w:rsidR="0079027D">
        <w:rPr>
          <w:rFonts w:cs="Times New Roman"/>
          <w:szCs w:val="24"/>
        </w:rPr>
        <w:t>travelling distance</w:t>
      </w:r>
      <w:r w:rsidR="00581834">
        <w:rPr>
          <w:rFonts w:cs="Times New Roman"/>
          <w:szCs w:val="24"/>
        </w:rPr>
        <w:t>.</w:t>
      </w:r>
      <w:bookmarkEnd w:id="123"/>
      <w:bookmarkEnd w:id="124"/>
      <w:bookmarkEnd w:id="125"/>
    </w:p>
    <w:p w:rsidR="001C40EE" w:rsidRDefault="001C40EE" w:rsidP="00D204A3">
      <w:pPr>
        <w:autoSpaceDE w:val="0"/>
        <w:autoSpaceDN w:val="0"/>
        <w:adjustRightInd w:val="0"/>
        <w:spacing w:after="0"/>
        <w:jc w:val="both"/>
        <w:outlineLvl w:val="0"/>
        <w:rPr>
          <w:rFonts w:cs="Times New Roman"/>
          <w:szCs w:val="24"/>
        </w:rPr>
      </w:pPr>
      <w:bookmarkStart w:id="126" w:name="OLE_LINK245"/>
      <w:bookmarkStart w:id="127" w:name="OLE_LINK251"/>
      <w:bookmarkEnd w:id="116"/>
      <w:bookmarkEnd w:id="117"/>
      <w:bookmarkEnd w:id="118"/>
    </w:p>
    <w:p w:rsidR="00303D72" w:rsidRPr="009876BB" w:rsidRDefault="00CC1117" w:rsidP="00D204A3">
      <w:pPr>
        <w:autoSpaceDE w:val="0"/>
        <w:autoSpaceDN w:val="0"/>
        <w:adjustRightInd w:val="0"/>
        <w:spacing w:after="0"/>
        <w:jc w:val="both"/>
        <w:outlineLvl w:val="0"/>
        <w:rPr>
          <w:rFonts w:ascii="Calibri" w:hAnsi="Calibri" w:cs="Times New Roman"/>
          <w:b/>
          <w:szCs w:val="24"/>
        </w:rPr>
      </w:pPr>
      <w:r w:rsidRPr="009876BB">
        <w:rPr>
          <w:rFonts w:ascii="Calibri" w:hAnsi="Calibri" w:cs="Times New Roman"/>
          <w:b/>
          <w:szCs w:val="24"/>
        </w:rPr>
        <w:t xml:space="preserve">Problem </w:t>
      </w:r>
      <w:r w:rsidR="00DC6D8D">
        <w:rPr>
          <w:rFonts w:ascii="Calibri" w:hAnsi="Calibri" w:cs="Times New Roman"/>
          <w:b/>
          <w:szCs w:val="24"/>
        </w:rPr>
        <w:t>description and n</w:t>
      </w:r>
      <w:r w:rsidR="00DF7BAF">
        <w:rPr>
          <w:rFonts w:ascii="Calibri" w:hAnsi="Calibri" w:cs="Times New Roman"/>
          <w:b/>
          <w:szCs w:val="24"/>
        </w:rPr>
        <w:t>otation</w:t>
      </w:r>
    </w:p>
    <w:p w:rsidR="00C43B78" w:rsidRDefault="0004580E" w:rsidP="00227C04">
      <w:pPr>
        <w:autoSpaceDE w:val="0"/>
        <w:autoSpaceDN w:val="0"/>
        <w:adjustRightInd w:val="0"/>
        <w:spacing w:after="0"/>
        <w:jc w:val="both"/>
      </w:pPr>
      <w:bookmarkStart w:id="128" w:name="OLE_LINK397"/>
      <w:bookmarkStart w:id="129" w:name="OLE_LINK398"/>
      <w:bookmarkStart w:id="130" w:name="OLE_LINK417"/>
      <w:bookmarkStart w:id="131" w:name="OLE_LINK418"/>
      <w:bookmarkStart w:id="132" w:name="OLE_LINK419"/>
      <w:bookmarkEnd w:id="126"/>
      <w:bookmarkEnd w:id="127"/>
      <w:r>
        <w:rPr>
          <w:rFonts w:ascii="Calibri" w:hAnsi="Calibri" w:cs="Times New Roman"/>
          <w:szCs w:val="24"/>
        </w:rPr>
        <w:t>For both t</w:t>
      </w:r>
      <w:r w:rsidR="002960D9">
        <w:rPr>
          <w:rFonts w:ascii="Calibri" w:hAnsi="Calibri" w:cs="Times New Roman"/>
          <w:szCs w:val="24"/>
        </w:rPr>
        <w:t>he</w:t>
      </w:r>
      <w:r w:rsidR="005B1B8A">
        <w:rPr>
          <w:rFonts w:ascii="Calibri" w:hAnsi="Calibri" w:cs="Times New Roman"/>
          <w:szCs w:val="24"/>
        </w:rPr>
        <w:t xml:space="preserve"> PDP and </w:t>
      </w:r>
      <w:r>
        <w:rPr>
          <w:rFonts w:ascii="Calibri" w:hAnsi="Calibri" w:cs="Times New Roman"/>
          <w:szCs w:val="24"/>
        </w:rPr>
        <w:t>the VRPCD</w:t>
      </w:r>
      <w:r w:rsidR="009C791A">
        <w:rPr>
          <w:rFonts w:ascii="Calibri" w:hAnsi="Calibri" w:cs="Times New Roman"/>
          <w:szCs w:val="24"/>
        </w:rPr>
        <w:t>,</w:t>
      </w:r>
      <w:r w:rsidR="00CC1117">
        <w:rPr>
          <w:rFonts w:ascii="Calibri" w:hAnsi="Calibri" w:cs="Times New Roman"/>
          <w:szCs w:val="24"/>
        </w:rPr>
        <w:t xml:space="preserve"> the</w:t>
      </w:r>
      <w:r w:rsidR="005B1B8A">
        <w:rPr>
          <w:rFonts w:ascii="Calibri" w:hAnsi="Calibri" w:cs="Times New Roman"/>
          <w:szCs w:val="24"/>
        </w:rPr>
        <w:t xml:space="preserve"> aim </w:t>
      </w:r>
      <w:r w:rsidR="00CC1117">
        <w:rPr>
          <w:rFonts w:ascii="Calibri" w:hAnsi="Calibri" w:cs="Times New Roman"/>
          <w:szCs w:val="24"/>
        </w:rPr>
        <w:t>is to satisfy</w:t>
      </w:r>
      <w:r w:rsidR="005B1B8A">
        <w:rPr>
          <w:rFonts w:ascii="Calibri" w:hAnsi="Calibri" w:cs="Times New Roman"/>
          <w:szCs w:val="24"/>
        </w:rPr>
        <w:t xml:space="preserve"> a set of transportation</w:t>
      </w:r>
      <w:r w:rsidR="00EC4C89">
        <w:rPr>
          <w:rFonts w:ascii="Calibri" w:hAnsi="Calibri" w:cs="Times New Roman"/>
          <w:szCs w:val="24"/>
        </w:rPr>
        <w:t xml:space="preserve"> </w:t>
      </w:r>
      <w:r w:rsidR="005B1B8A">
        <w:t xml:space="preserve">requests </w:t>
      </w:r>
      <w:r w:rsidR="0079027D" w:rsidRPr="0079027D">
        <w:rPr>
          <w:i/>
        </w:rPr>
        <w:t>n</w:t>
      </w:r>
      <w:r w:rsidR="0079027D">
        <w:t xml:space="preserve"> </w:t>
      </w:r>
      <w:r w:rsidR="005B1B8A">
        <w:t xml:space="preserve">from a set of suppliers to a set of customers. </w:t>
      </w:r>
      <w:bookmarkStart w:id="133" w:name="OLE_LINK628"/>
      <w:bookmarkStart w:id="134" w:name="OLE_LINK629"/>
      <w:bookmarkStart w:id="135" w:name="OLE_LINK630"/>
      <w:bookmarkEnd w:id="128"/>
      <w:bookmarkEnd w:id="129"/>
      <w:bookmarkEnd w:id="130"/>
      <w:bookmarkEnd w:id="131"/>
      <w:bookmarkEnd w:id="132"/>
      <w:r w:rsidR="00FE289F">
        <w:t xml:space="preserve">Let a directed graph </w:t>
      </w:r>
      <w:r w:rsidR="00FE289F">
        <w:rPr>
          <w:i/>
          <w:iCs/>
        </w:rPr>
        <w:t xml:space="preserve">G </w:t>
      </w:r>
      <w:r w:rsidR="00FE289F">
        <w:t>= (</w:t>
      </w:r>
      <w:r w:rsidR="00FE289F">
        <w:rPr>
          <w:i/>
          <w:iCs/>
        </w:rPr>
        <w:t>V</w:t>
      </w:r>
      <w:r w:rsidR="00FE289F">
        <w:t xml:space="preserve">, </w:t>
      </w:r>
      <w:r w:rsidR="00FE289F">
        <w:rPr>
          <w:i/>
          <w:iCs/>
        </w:rPr>
        <w:t>A</w:t>
      </w:r>
      <w:r w:rsidR="00FE289F">
        <w:t xml:space="preserve">), where </w:t>
      </w:r>
      <w:r w:rsidR="00FE289F">
        <w:rPr>
          <w:i/>
          <w:iCs/>
        </w:rPr>
        <w:t xml:space="preserve">V </w:t>
      </w:r>
      <w:r w:rsidR="00FE289F">
        <w:t>= {0, 1</w:t>
      </w:r>
      <w:proofErr w:type="gramStart"/>
      <w:r w:rsidR="00FE289F">
        <w:t>, …,</w:t>
      </w:r>
      <w:proofErr w:type="gramEnd"/>
      <w:r w:rsidR="00FE289F">
        <w:t xml:space="preserve"> 2</w:t>
      </w:r>
      <w:r w:rsidR="00FE289F">
        <w:rPr>
          <w:i/>
          <w:iCs/>
        </w:rPr>
        <w:t>n</w:t>
      </w:r>
      <w:r w:rsidR="00FE289F">
        <w:t xml:space="preserve">} </w:t>
      </w:r>
      <w:r w:rsidR="004252A0">
        <w:t>is</w:t>
      </w:r>
      <w:r w:rsidR="00FE289F">
        <w:t xml:space="preserve"> the set of nodes and </w:t>
      </w:r>
      <w:r w:rsidR="00FE289F">
        <w:rPr>
          <w:i/>
          <w:iCs/>
        </w:rPr>
        <w:t xml:space="preserve">A </w:t>
      </w:r>
      <w:r w:rsidR="004252A0">
        <w:t xml:space="preserve">is </w:t>
      </w:r>
      <w:r w:rsidR="00FE289F">
        <w:t xml:space="preserve">the set of arcs. </w:t>
      </w:r>
      <w:r w:rsidR="00924457">
        <w:t>E</w:t>
      </w:r>
      <w:r w:rsidR="00FE289F">
        <w:t xml:space="preserve">ach </w:t>
      </w:r>
      <w:r w:rsidR="00FE289F" w:rsidRPr="00227C04">
        <w:t>arc (</w:t>
      </w:r>
      <w:proofErr w:type="spellStart"/>
      <w:r w:rsidR="00FE289F" w:rsidRPr="00227C04">
        <w:rPr>
          <w:i/>
          <w:iCs/>
        </w:rPr>
        <w:t>i</w:t>
      </w:r>
      <w:proofErr w:type="spellEnd"/>
      <w:r w:rsidR="00FE289F" w:rsidRPr="00227C04">
        <w:t xml:space="preserve">, </w:t>
      </w:r>
      <w:r w:rsidR="00FE289F" w:rsidRPr="00227C04">
        <w:rPr>
          <w:i/>
          <w:iCs/>
        </w:rPr>
        <w:t>j</w:t>
      </w:r>
      <w:r w:rsidR="00FE289F" w:rsidRPr="00227C04">
        <w:t xml:space="preserve">) </w:t>
      </w:r>
      <w:r w:rsidR="00FE289F" w:rsidRPr="00227C04">
        <w:rPr>
          <w:rFonts w:ascii="Cambria Math" w:hAnsi="Cambria Math" w:cs="Cambria Math"/>
        </w:rPr>
        <w:t>∈</w:t>
      </w:r>
      <w:r w:rsidR="00317EE5">
        <w:rPr>
          <w:rFonts w:ascii="Cambria Math" w:hAnsi="Cambria Math" w:cs="Cambria Math"/>
        </w:rPr>
        <w:t xml:space="preserve"> </w:t>
      </w:r>
      <w:r w:rsidR="00FE289F" w:rsidRPr="00227C04">
        <w:rPr>
          <w:i/>
          <w:iCs/>
        </w:rPr>
        <w:t xml:space="preserve">A </w:t>
      </w:r>
      <w:r w:rsidR="00924457" w:rsidRPr="00227C04">
        <w:t>is associated with</w:t>
      </w:r>
      <w:r w:rsidR="00FE289F" w:rsidRPr="00227C04">
        <w:t xml:space="preserve"> a non-negative travel cost </w:t>
      </w:r>
      <w:proofErr w:type="spellStart"/>
      <w:r w:rsidR="002A0E25" w:rsidRPr="00EF070B">
        <w:rPr>
          <w:i/>
          <w:iCs/>
        </w:rPr>
        <w:t>d</w:t>
      </w:r>
      <w:r w:rsidR="00FE289F" w:rsidRPr="00EF070B">
        <w:rPr>
          <w:i/>
          <w:vertAlign w:val="subscript"/>
        </w:rPr>
        <w:t>ij</w:t>
      </w:r>
      <w:proofErr w:type="spellEnd"/>
      <w:r w:rsidR="00FE289F" w:rsidRPr="00227C04">
        <w:t xml:space="preserve">. Node subsets </w:t>
      </w:r>
      <w:r w:rsidR="00FE289F" w:rsidRPr="00227C04">
        <w:rPr>
          <w:i/>
          <w:iCs/>
        </w:rPr>
        <w:t xml:space="preserve">P </w:t>
      </w:r>
      <w:r w:rsidR="00821ED1">
        <w:t>= {1</w:t>
      </w:r>
      <w:proofErr w:type="gramStart"/>
      <w:r w:rsidR="00821ED1">
        <w:t xml:space="preserve">, </w:t>
      </w:r>
      <w:r w:rsidR="00FE289F" w:rsidRPr="00227C04">
        <w:t>…,</w:t>
      </w:r>
      <w:proofErr w:type="gramEnd"/>
      <w:r w:rsidR="00531714">
        <w:t xml:space="preserve"> </w:t>
      </w:r>
      <w:r w:rsidR="00FE289F" w:rsidRPr="00227C04">
        <w:rPr>
          <w:i/>
          <w:iCs/>
        </w:rPr>
        <w:t>n</w:t>
      </w:r>
      <w:r w:rsidR="00FE289F" w:rsidRPr="00227C04">
        <w:t xml:space="preserve">} and </w:t>
      </w:r>
      <w:r w:rsidR="00FE289F" w:rsidRPr="00227C04">
        <w:rPr>
          <w:i/>
          <w:iCs/>
        </w:rPr>
        <w:t xml:space="preserve">D </w:t>
      </w:r>
      <w:r w:rsidR="00FE289F" w:rsidRPr="00227C04">
        <w:t>= {</w:t>
      </w:r>
      <w:r w:rsidR="00FE289F" w:rsidRPr="00227C04">
        <w:rPr>
          <w:i/>
          <w:iCs/>
        </w:rPr>
        <w:t xml:space="preserve">n </w:t>
      </w:r>
      <w:r w:rsidR="00FE289F" w:rsidRPr="00227C04">
        <w:t>+ 1, …, 2</w:t>
      </w:r>
      <w:r w:rsidR="00FE289F" w:rsidRPr="00227C04">
        <w:rPr>
          <w:i/>
          <w:iCs/>
        </w:rPr>
        <w:t>n</w:t>
      </w:r>
      <w:r w:rsidR="00FE289F" w:rsidRPr="00227C04">
        <w:t xml:space="preserve">} refer to the sets of pickup and delivery nodes, respectively. </w:t>
      </w:r>
      <w:r w:rsidR="00CC1117">
        <w:rPr>
          <w:rFonts w:cs="AdvP4DF60E"/>
        </w:rPr>
        <w:t>Node</w:t>
      </w:r>
      <w:r w:rsidR="00227C04" w:rsidRPr="00227C04">
        <w:rPr>
          <w:rFonts w:cs="AdvP4DF60E"/>
        </w:rPr>
        <w:t xml:space="preserve"> 0</w:t>
      </w:r>
      <w:r w:rsidR="00181BB6" w:rsidRPr="00672609">
        <w:rPr>
          <w:rFonts w:cs="AdvP4DF60E"/>
        </w:rPr>
        <w:t xml:space="preserve"> </w:t>
      </w:r>
      <w:r w:rsidR="00227C04" w:rsidRPr="00227C04">
        <w:rPr>
          <w:rFonts w:cs="AdvP4DF60E"/>
        </w:rPr>
        <w:t xml:space="preserve">represents the </w:t>
      </w:r>
      <w:r w:rsidR="008F0473">
        <w:rPr>
          <w:rFonts w:cs="AdvP4DF60E"/>
        </w:rPr>
        <w:t xml:space="preserve">depot. </w:t>
      </w:r>
      <w:bookmarkStart w:id="136" w:name="OLE_LINK220"/>
      <w:bookmarkStart w:id="137" w:name="OLE_LINK221"/>
      <w:r w:rsidR="008F0473">
        <w:rPr>
          <w:rFonts w:cs="AdvP4DF60E"/>
        </w:rPr>
        <w:t xml:space="preserve">In </w:t>
      </w:r>
      <w:r w:rsidR="001B3F40">
        <w:rPr>
          <w:rFonts w:cs="AdvP4DF60E"/>
        </w:rPr>
        <w:t xml:space="preserve">the </w:t>
      </w:r>
      <w:r w:rsidR="008F0473">
        <w:rPr>
          <w:rFonts w:cs="AdvP4DF60E"/>
        </w:rPr>
        <w:t>remainder of the paper</w:t>
      </w:r>
      <w:bookmarkEnd w:id="136"/>
      <w:bookmarkEnd w:id="137"/>
      <w:r w:rsidR="008F0473">
        <w:rPr>
          <w:rFonts w:cs="AdvP4DF60E"/>
        </w:rPr>
        <w:t xml:space="preserve">, the term depot will be used interchangeably and it will refer to the </w:t>
      </w:r>
      <w:r w:rsidR="008F0473" w:rsidRPr="00227C04">
        <w:rPr>
          <w:rFonts w:cs="AdvP4DF60E"/>
        </w:rPr>
        <w:t xml:space="preserve">central </w:t>
      </w:r>
      <w:r w:rsidR="008F0473">
        <w:rPr>
          <w:rFonts w:cs="AdvP4DF60E"/>
        </w:rPr>
        <w:t>vehicle station</w:t>
      </w:r>
      <w:r w:rsidR="00181BB6" w:rsidRPr="00181BB6">
        <w:rPr>
          <w:rFonts w:cs="AdvP4DF60E"/>
        </w:rPr>
        <w:t xml:space="preserve"> </w:t>
      </w:r>
      <w:r w:rsidR="00CC1117">
        <w:rPr>
          <w:rFonts w:cs="AdvP4DF60E"/>
        </w:rPr>
        <w:t xml:space="preserve">in the case of </w:t>
      </w:r>
      <w:r w:rsidR="008F0473">
        <w:rPr>
          <w:rFonts w:cs="AdvP4DF60E"/>
        </w:rPr>
        <w:t xml:space="preserve">the </w:t>
      </w:r>
      <w:r w:rsidR="00CC1117">
        <w:rPr>
          <w:rFonts w:cs="AdvP4DF60E"/>
        </w:rPr>
        <w:t xml:space="preserve">PDP or </w:t>
      </w:r>
      <w:r w:rsidR="008F0473">
        <w:rPr>
          <w:rFonts w:cs="AdvP4DF60E"/>
        </w:rPr>
        <w:t xml:space="preserve">to the </w:t>
      </w:r>
      <w:r w:rsidR="00216E05" w:rsidRPr="0097398B">
        <w:rPr>
          <w:rFonts w:cs="Times New Roman"/>
          <w:szCs w:val="24"/>
        </w:rPr>
        <w:t>cross</w:t>
      </w:r>
      <w:r w:rsidR="00216E05">
        <w:rPr>
          <w:rFonts w:cs="Times New Roman"/>
          <w:szCs w:val="24"/>
        </w:rPr>
        <w:t>-</w:t>
      </w:r>
      <w:r w:rsidR="00216E05" w:rsidRPr="0097398B">
        <w:rPr>
          <w:rFonts w:cs="Times New Roman"/>
          <w:szCs w:val="24"/>
        </w:rPr>
        <w:t xml:space="preserve">dock </w:t>
      </w:r>
      <w:r w:rsidR="008F0473">
        <w:rPr>
          <w:rFonts w:cs="AdvP4DF60E"/>
        </w:rPr>
        <w:t>in the case of the VRPCD</w:t>
      </w:r>
      <w:r w:rsidR="0000474E">
        <w:rPr>
          <w:rFonts w:cs="AdvP4DF60E"/>
        </w:rPr>
        <w:t xml:space="preserve">. </w:t>
      </w:r>
      <w:r w:rsidR="008F0473">
        <w:t xml:space="preserve">The aim is to design </w:t>
      </w:r>
      <w:r w:rsidR="00996FBE">
        <w:t xml:space="preserve">the </w:t>
      </w:r>
      <w:r w:rsidR="005D0D79">
        <w:t>minimum</w:t>
      </w:r>
      <w:r w:rsidR="00996FBE" w:rsidRPr="00227C04">
        <w:t xml:space="preserve"> cost </w:t>
      </w:r>
      <w:r w:rsidR="008F0473">
        <w:t xml:space="preserve">set of </w:t>
      </w:r>
      <w:r w:rsidR="005B1B8A" w:rsidRPr="00227C04">
        <w:t xml:space="preserve">routes </w:t>
      </w:r>
      <w:r w:rsidR="00996FBE">
        <w:t xml:space="preserve">in order </w:t>
      </w:r>
      <w:r w:rsidR="005B1B8A" w:rsidRPr="00227C04">
        <w:t xml:space="preserve">to satisfy </w:t>
      </w:r>
      <w:bookmarkStart w:id="138" w:name="OLE_LINK542"/>
      <w:bookmarkStart w:id="139" w:name="OLE_LINK543"/>
      <w:r w:rsidR="005B1B8A" w:rsidRPr="00227C04">
        <w:t xml:space="preserve">a set of transportation requests </w:t>
      </w:r>
      <w:r w:rsidR="005B1B8A" w:rsidRPr="00227C04">
        <w:rPr>
          <w:i/>
          <w:iCs/>
        </w:rPr>
        <w:t xml:space="preserve">R </w:t>
      </w:r>
      <w:r w:rsidR="005B1B8A" w:rsidRPr="00227C04">
        <w:t>= {1</w:t>
      </w:r>
      <w:proofErr w:type="gramStart"/>
      <w:r w:rsidR="005B1B8A" w:rsidRPr="00227C04">
        <w:t>, …,</w:t>
      </w:r>
      <w:proofErr w:type="gramEnd"/>
      <w:r w:rsidR="00607144">
        <w:t xml:space="preserve"> </w:t>
      </w:r>
      <w:r w:rsidR="005B1B8A" w:rsidRPr="00227C04">
        <w:rPr>
          <w:i/>
          <w:iCs/>
        </w:rPr>
        <w:t>n</w:t>
      </w:r>
      <w:r w:rsidR="005B1B8A" w:rsidRPr="00227C04">
        <w:t xml:space="preserve">}, where </w:t>
      </w:r>
      <w:r w:rsidR="005B1B8A" w:rsidRPr="00227C04">
        <w:rPr>
          <w:i/>
          <w:iCs/>
        </w:rPr>
        <w:t xml:space="preserve">n </w:t>
      </w:r>
      <w:r w:rsidR="005B1B8A" w:rsidRPr="00227C04">
        <w:t>is the total number of requests</w:t>
      </w:r>
      <w:bookmarkEnd w:id="138"/>
      <w:bookmarkEnd w:id="139"/>
      <w:r w:rsidR="005B1B8A" w:rsidRPr="00227C04">
        <w:t xml:space="preserve">. </w:t>
      </w:r>
      <w:r w:rsidR="00FE289F" w:rsidRPr="00227C04">
        <w:t xml:space="preserve">Each transportation request </w:t>
      </w:r>
      <w:bookmarkStart w:id="140" w:name="OLE_LINK376"/>
      <w:bookmarkStart w:id="141" w:name="OLE_LINK377"/>
      <w:bookmarkStart w:id="142" w:name="OLE_LINK382"/>
      <w:r w:rsidR="008F0473">
        <w:rPr>
          <w:i/>
          <w:iCs/>
        </w:rPr>
        <w:t>r</w:t>
      </w:r>
      <w:r w:rsidR="00805699" w:rsidRPr="00805699">
        <w:rPr>
          <w:i/>
          <w:iCs/>
        </w:rPr>
        <w:t xml:space="preserve"> </w:t>
      </w:r>
      <w:r w:rsidR="00FE289F" w:rsidRPr="00227C04">
        <w:rPr>
          <w:rFonts w:ascii="Cambria Math" w:hAnsi="Cambria Math" w:cs="Cambria Math"/>
        </w:rPr>
        <w:t>∈</w:t>
      </w:r>
      <w:r w:rsidR="00805699" w:rsidRPr="00805699">
        <w:rPr>
          <w:rFonts w:ascii="Cambria Math" w:hAnsi="Cambria Math" w:cs="Cambria Math"/>
        </w:rPr>
        <w:t xml:space="preserve"> </w:t>
      </w:r>
      <w:r w:rsidR="00FE289F" w:rsidRPr="00227C04">
        <w:rPr>
          <w:i/>
          <w:iCs/>
        </w:rPr>
        <w:t>R</w:t>
      </w:r>
      <w:bookmarkEnd w:id="140"/>
      <w:bookmarkEnd w:id="141"/>
      <w:bookmarkEnd w:id="142"/>
      <w:r w:rsidR="00B457D4">
        <w:t xml:space="preserve"> i</w:t>
      </w:r>
      <w:r w:rsidR="00FE289F" w:rsidRPr="00227C04">
        <w:t xml:space="preserve">s associated with a pickup node </w:t>
      </w:r>
      <w:proofErr w:type="spellStart"/>
      <w:r w:rsidR="00903535">
        <w:rPr>
          <w:i/>
          <w:iCs/>
        </w:rPr>
        <w:t>i</w:t>
      </w:r>
      <w:proofErr w:type="spellEnd"/>
      <w:r w:rsidR="00FE289F" w:rsidRPr="00227C04">
        <w:rPr>
          <w:i/>
          <w:iCs/>
        </w:rPr>
        <w:t xml:space="preserve"> </w:t>
      </w:r>
      <w:r w:rsidR="00FE289F" w:rsidRPr="00227C04">
        <w:rPr>
          <w:rFonts w:ascii="Cambria Math" w:hAnsi="Cambria Math" w:cs="Cambria Math"/>
        </w:rPr>
        <w:t>∈</w:t>
      </w:r>
      <w:r w:rsidR="00607144">
        <w:rPr>
          <w:rFonts w:ascii="Cambria Math" w:hAnsi="Cambria Math" w:cs="Cambria Math"/>
        </w:rPr>
        <w:t xml:space="preserve"> </w:t>
      </w:r>
      <w:r w:rsidR="00FE289F" w:rsidRPr="00227C04">
        <w:rPr>
          <w:i/>
          <w:iCs/>
        </w:rPr>
        <w:t xml:space="preserve">P </w:t>
      </w:r>
      <w:r w:rsidR="00FE289F" w:rsidRPr="00227C04">
        <w:t>and the corresponding delivery node (</w:t>
      </w:r>
      <w:r w:rsidR="00FE289F" w:rsidRPr="00227C04">
        <w:rPr>
          <w:i/>
          <w:iCs/>
        </w:rPr>
        <w:t xml:space="preserve">n </w:t>
      </w:r>
      <w:r w:rsidR="00FE289F" w:rsidRPr="00227C04">
        <w:t xml:space="preserve">+ </w:t>
      </w:r>
      <w:proofErr w:type="spellStart"/>
      <w:r w:rsidR="005047EF">
        <w:rPr>
          <w:i/>
          <w:iCs/>
        </w:rPr>
        <w:t>i</w:t>
      </w:r>
      <w:proofErr w:type="spellEnd"/>
      <w:r w:rsidR="00FE289F" w:rsidRPr="00227C04">
        <w:t xml:space="preserve">) </w:t>
      </w:r>
      <w:r w:rsidR="00FE289F" w:rsidRPr="00227C04">
        <w:rPr>
          <w:rFonts w:ascii="Cambria Math" w:hAnsi="Cambria Math" w:cs="Cambria Math"/>
        </w:rPr>
        <w:t>∈</w:t>
      </w:r>
      <w:r w:rsidR="00672609" w:rsidRPr="00672609">
        <w:rPr>
          <w:rFonts w:ascii="Cambria Math" w:hAnsi="Cambria Math" w:cs="Cambria Math"/>
        </w:rPr>
        <w:t xml:space="preserve"> </w:t>
      </w:r>
      <w:r w:rsidR="00FE289F" w:rsidRPr="00227C04">
        <w:rPr>
          <w:i/>
          <w:iCs/>
        </w:rPr>
        <w:t>D</w:t>
      </w:r>
      <w:r w:rsidR="00FE289F" w:rsidRPr="00227C04">
        <w:t>. In addition, each request</w:t>
      </w:r>
      <w:r w:rsidR="00805699" w:rsidRPr="00805699">
        <w:t xml:space="preserve"> </w:t>
      </w:r>
      <w:r w:rsidR="008F0473">
        <w:rPr>
          <w:i/>
          <w:iCs/>
        </w:rPr>
        <w:t>r</w:t>
      </w:r>
      <w:bookmarkStart w:id="143" w:name="OLE_LINK109"/>
      <w:bookmarkStart w:id="144" w:name="OLE_LINK110"/>
      <w:bookmarkStart w:id="145" w:name="OLE_LINK111"/>
      <w:r w:rsidR="00805699" w:rsidRPr="00805699">
        <w:rPr>
          <w:i/>
          <w:iCs/>
        </w:rPr>
        <w:t xml:space="preserve"> </w:t>
      </w:r>
      <w:r w:rsidR="00BD6F73" w:rsidRPr="00227C04">
        <w:rPr>
          <w:rFonts w:ascii="Cambria Math" w:hAnsi="Cambria Math" w:cs="Cambria Math"/>
        </w:rPr>
        <w:t>∈</w:t>
      </w:r>
      <w:bookmarkEnd w:id="143"/>
      <w:bookmarkEnd w:id="144"/>
      <w:bookmarkEnd w:id="145"/>
      <w:r w:rsidR="00805699" w:rsidRPr="00805699">
        <w:rPr>
          <w:rFonts w:ascii="Cambria Math" w:hAnsi="Cambria Math" w:cs="Cambria Math"/>
        </w:rPr>
        <w:t xml:space="preserve"> </w:t>
      </w:r>
      <w:r w:rsidR="00BD6F73" w:rsidRPr="00227C04">
        <w:rPr>
          <w:i/>
          <w:iCs/>
        </w:rPr>
        <w:t>R</w:t>
      </w:r>
      <w:r w:rsidR="00805699" w:rsidRPr="00805699">
        <w:rPr>
          <w:i/>
          <w:iCs/>
        </w:rPr>
        <w:t xml:space="preserve"> </w:t>
      </w:r>
      <w:r w:rsidR="008F0473">
        <w:t>i</w:t>
      </w:r>
      <w:r w:rsidR="00FE289F" w:rsidRPr="00227C04">
        <w:t>s associated with a quantity</w:t>
      </w:r>
      <w:r w:rsidR="00805699" w:rsidRPr="00922B2D">
        <w:rPr>
          <w:i/>
        </w:rPr>
        <w:t xml:space="preserve"> </w:t>
      </w:r>
      <w:proofErr w:type="spellStart"/>
      <w:proofErr w:type="gramStart"/>
      <w:r w:rsidR="00FE289F" w:rsidRPr="00922B2D">
        <w:rPr>
          <w:i/>
          <w:iCs/>
        </w:rPr>
        <w:t>q</w:t>
      </w:r>
      <w:r w:rsidR="008F0473" w:rsidRPr="00922B2D">
        <w:rPr>
          <w:i/>
          <w:sz w:val="14"/>
          <w:szCs w:val="14"/>
        </w:rPr>
        <w:t>r</w:t>
      </w:r>
      <w:proofErr w:type="spellEnd"/>
      <w:proofErr w:type="gramEnd"/>
      <w:r w:rsidR="00F26F23">
        <w:rPr>
          <w:sz w:val="14"/>
          <w:szCs w:val="14"/>
        </w:rPr>
        <w:t xml:space="preserve"> </w:t>
      </w:r>
      <w:r w:rsidR="00FE289F">
        <w:t xml:space="preserve">that needs to be picked up from </w:t>
      </w:r>
      <w:proofErr w:type="spellStart"/>
      <w:r w:rsidR="00FE289F">
        <w:rPr>
          <w:i/>
          <w:iCs/>
        </w:rPr>
        <w:t>i</w:t>
      </w:r>
      <w:proofErr w:type="spellEnd"/>
      <w:r w:rsidR="00FE289F">
        <w:rPr>
          <w:i/>
          <w:iCs/>
        </w:rPr>
        <w:t xml:space="preserve"> </w:t>
      </w:r>
      <w:r w:rsidR="00FE289F">
        <w:rPr>
          <w:rFonts w:ascii="Cambria Math" w:hAnsi="Cambria Math" w:cs="Cambria Math"/>
        </w:rPr>
        <w:t xml:space="preserve">∈ </w:t>
      </w:r>
      <w:r w:rsidR="00FE289F">
        <w:rPr>
          <w:i/>
          <w:iCs/>
        </w:rPr>
        <w:t xml:space="preserve">P </w:t>
      </w:r>
      <w:r w:rsidR="00FE289F">
        <w:t xml:space="preserve">and </w:t>
      </w:r>
      <w:r w:rsidR="004E38DE">
        <w:t xml:space="preserve">be </w:t>
      </w:r>
      <w:r w:rsidR="00FE289F">
        <w:t>delivered to (</w:t>
      </w:r>
      <w:r w:rsidR="00FE289F">
        <w:rPr>
          <w:i/>
          <w:iCs/>
        </w:rPr>
        <w:t xml:space="preserve">n </w:t>
      </w:r>
      <w:r w:rsidR="00FE289F">
        <w:t xml:space="preserve">+ </w:t>
      </w:r>
      <w:proofErr w:type="spellStart"/>
      <w:r w:rsidR="00FE289F">
        <w:rPr>
          <w:i/>
          <w:iCs/>
        </w:rPr>
        <w:t>i</w:t>
      </w:r>
      <w:proofErr w:type="spellEnd"/>
      <w:r w:rsidR="00FE289F">
        <w:t xml:space="preserve">) </w:t>
      </w:r>
      <w:r w:rsidR="00FE289F">
        <w:rPr>
          <w:rFonts w:ascii="Cambria Math" w:hAnsi="Cambria Math" w:cs="Cambria Math"/>
        </w:rPr>
        <w:t xml:space="preserve">∈ </w:t>
      </w:r>
      <w:r w:rsidR="00FE289F">
        <w:rPr>
          <w:i/>
          <w:iCs/>
        </w:rPr>
        <w:t>D</w:t>
      </w:r>
      <w:r w:rsidR="00FE289F">
        <w:t xml:space="preserve">. For each node </w:t>
      </w:r>
      <w:proofErr w:type="spellStart"/>
      <w:r w:rsidR="00903535">
        <w:rPr>
          <w:i/>
          <w:iCs/>
        </w:rPr>
        <w:t>i</w:t>
      </w:r>
      <w:proofErr w:type="spellEnd"/>
      <w:r w:rsidR="00FE289F">
        <w:rPr>
          <w:i/>
          <w:iCs/>
        </w:rPr>
        <w:t xml:space="preserve"> </w:t>
      </w:r>
      <w:r w:rsidR="00FE289F">
        <w:rPr>
          <w:rFonts w:ascii="Cambria Math" w:hAnsi="Cambria Math" w:cs="Cambria Math"/>
        </w:rPr>
        <w:t xml:space="preserve">∈ </w:t>
      </w:r>
      <w:r w:rsidR="00FE289F">
        <w:rPr>
          <w:i/>
          <w:iCs/>
        </w:rPr>
        <w:t xml:space="preserve">P </w:t>
      </w:r>
      <w:r w:rsidR="00FE289F">
        <w:rPr>
          <w:rFonts w:ascii="Cambria Math" w:hAnsi="Cambria Math" w:cs="Cambria Math"/>
        </w:rPr>
        <w:t xml:space="preserve">∪ </w:t>
      </w:r>
      <w:r w:rsidR="00FE289F">
        <w:rPr>
          <w:i/>
          <w:iCs/>
        </w:rPr>
        <w:t>D</w:t>
      </w:r>
      <w:r w:rsidR="00FE289F">
        <w:t xml:space="preserve">, there exists a predetermined service time </w:t>
      </w:r>
      <w:proofErr w:type="spellStart"/>
      <w:r w:rsidR="00903535">
        <w:rPr>
          <w:i/>
          <w:iCs/>
        </w:rPr>
        <w:t>t</w:t>
      </w:r>
      <w:r w:rsidR="00903535">
        <w:rPr>
          <w:i/>
          <w:iCs/>
          <w:vertAlign w:val="subscript"/>
        </w:rPr>
        <w:t>i</w:t>
      </w:r>
      <w:proofErr w:type="spellEnd"/>
      <w:r w:rsidR="00694B01">
        <w:t xml:space="preserve">. </w:t>
      </w:r>
      <w:r w:rsidR="00455F05">
        <w:t xml:space="preserve">Transportation requests can </w:t>
      </w:r>
      <w:r w:rsidR="00455F05" w:rsidRPr="00083C58">
        <w:t xml:space="preserve">be served </w:t>
      </w:r>
      <w:bookmarkStart w:id="146" w:name="OLE_LINK47"/>
      <w:bookmarkStart w:id="147" w:name="OLE_LINK48"/>
      <w:bookmarkStart w:id="148" w:name="OLE_LINK180"/>
      <w:r w:rsidR="00455F05" w:rsidRPr="00083C58">
        <w:t>by a set of homogeneous vehicles</w:t>
      </w:r>
      <w:bookmarkEnd w:id="146"/>
      <w:bookmarkEnd w:id="147"/>
      <w:bookmarkEnd w:id="148"/>
      <w:r w:rsidR="0000474E">
        <w:rPr>
          <w:rFonts w:cs="AdvP4DF60E"/>
        </w:rPr>
        <w:t xml:space="preserve"> located at the depot</w:t>
      </w:r>
      <w:r w:rsidR="00455F05" w:rsidRPr="00083C58">
        <w:t>.</w:t>
      </w:r>
      <w:bookmarkEnd w:id="133"/>
      <w:bookmarkEnd w:id="134"/>
      <w:bookmarkEnd w:id="135"/>
      <w:r w:rsidR="00805699" w:rsidRPr="00805699">
        <w:t xml:space="preserve"> </w:t>
      </w:r>
      <w:r w:rsidR="00FE289F" w:rsidRPr="00083C58">
        <w:t xml:space="preserve">Finally, </w:t>
      </w:r>
      <w:r w:rsidR="00C43B78" w:rsidRPr="00083C58">
        <w:t xml:space="preserve">a </w:t>
      </w:r>
      <w:r w:rsidR="006F272F" w:rsidRPr="00083C58">
        <w:t>maximum</w:t>
      </w:r>
      <w:r w:rsidR="00805699" w:rsidRPr="00805699">
        <w:t xml:space="preserve"> </w:t>
      </w:r>
      <w:r w:rsidR="006F272F" w:rsidRPr="00083C58">
        <w:t xml:space="preserve">vehicle capacity </w:t>
      </w:r>
      <w:r w:rsidR="006F272F" w:rsidRPr="00922B2D">
        <w:rPr>
          <w:i/>
        </w:rPr>
        <w:t>Q</w:t>
      </w:r>
      <w:r w:rsidR="006F272F" w:rsidRPr="00083C58">
        <w:t xml:space="preserve"> and a </w:t>
      </w:r>
      <w:r w:rsidR="00FE289F" w:rsidRPr="00083C58">
        <w:t xml:space="preserve">maximum route duration </w:t>
      </w:r>
      <w:r w:rsidR="008F0473">
        <w:rPr>
          <w:i/>
          <w:iCs/>
        </w:rPr>
        <w:t>T</w:t>
      </w:r>
      <w:r w:rsidR="00805699" w:rsidRPr="00805699">
        <w:rPr>
          <w:i/>
          <w:iCs/>
        </w:rPr>
        <w:t xml:space="preserve"> </w:t>
      </w:r>
      <w:r w:rsidR="006F272F" w:rsidRPr="00083C58">
        <w:t>are</w:t>
      </w:r>
      <w:r w:rsidR="00FE289F" w:rsidRPr="00083C58">
        <w:t xml:space="preserve"> imposed.</w:t>
      </w:r>
    </w:p>
    <w:p w:rsidR="00EC10F7" w:rsidRPr="00B20A00" w:rsidRDefault="00F00EA5" w:rsidP="00F00EA5">
      <w:pPr>
        <w:pStyle w:val="Default"/>
        <w:tabs>
          <w:tab w:val="left" w:pos="720"/>
          <w:tab w:val="left" w:pos="1620"/>
        </w:tabs>
        <w:spacing w:line="276" w:lineRule="auto"/>
        <w:jc w:val="both"/>
        <w:rPr>
          <w:rFonts w:asciiTheme="minorHAnsi" w:hAnsiTheme="minorHAnsi" w:cstheme="minorBidi"/>
          <w:color w:val="auto"/>
          <w:sz w:val="22"/>
          <w:szCs w:val="22"/>
        </w:rPr>
      </w:pPr>
      <w:r>
        <w:rPr>
          <w:rFonts w:asciiTheme="minorHAnsi" w:hAnsiTheme="minorHAnsi" w:cs="AdvP4DF60E"/>
          <w:color w:val="auto"/>
          <w:sz w:val="22"/>
          <w:szCs w:val="22"/>
        </w:rPr>
        <w:tab/>
      </w:r>
      <w:r w:rsidR="0079027D">
        <w:rPr>
          <w:rFonts w:asciiTheme="minorHAnsi" w:hAnsiTheme="minorHAnsi" w:cstheme="minorBidi"/>
          <w:color w:val="auto"/>
          <w:sz w:val="22"/>
          <w:szCs w:val="22"/>
        </w:rPr>
        <w:t xml:space="preserve">For </w:t>
      </w:r>
      <w:r w:rsidR="008F0473">
        <w:rPr>
          <w:rFonts w:asciiTheme="minorHAnsi" w:hAnsiTheme="minorHAnsi" w:cstheme="minorBidi"/>
          <w:color w:val="auto"/>
          <w:sz w:val="22"/>
          <w:szCs w:val="22"/>
        </w:rPr>
        <w:t xml:space="preserve">the </w:t>
      </w:r>
      <w:r w:rsidR="00177576">
        <w:rPr>
          <w:rFonts w:asciiTheme="minorHAnsi" w:hAnsiTheme="minorHAnsi" w:cstheme="minorBidi"/>
          <w:color w:val="auto"/>
          <w:sz w:val="22"/>
          <w:szCs w:val="22"/>
        </w:rPr>
        <w:t>PDP,</w:t>
      </w:r>
      <w:bookmarkStart w:id="149" w:name="OLE_LINK624"/>
      <w:bookmarkStart w:id="150" w:name="OLE_LINK625"/>
      <w:bookmarkStart w:id="151" w:name="OLE_LINK626"/>
      <w:bookmarkStart w:id="152" w:name="OLE_LINK627"/>
      <w:r w:rsidR="00805699" w:rsidRPr="00805699">
        <w:rPr>
          <w:rFonts w:asciiTheme="minorHAnsi" w:hAnsiTheme="minorHAnsi" w:cstheme="minorBidi"/>
          <w:color w:val="auto"/>
          <w:sz w:val="22"/>
          <w:szCs w:val="22"/>
        </w:rPr>
        <w:t xml:space="preserve"> </w:t>
      </w:r>
      <w:r w:rsidR="008F0473">
        <w:rPr>
          <w:rFonts w:asciiTheme="minorHAnsi" w:hAnsiTheme="minorHAnsi" w:cstheme="minorBidi"/>
          <w:color w:val="auto"/>
          <w:sz w:val="22"/>
          <w:szCs w:val="22"/>
        </w:rPr>
        <w:t>t</w:t>
      </w:r>
      <w:r w:rsidR="00FE289F" w:rsidRPr="00FE289F">
        <w:rPr>
          <w:rFonts w:asciiTheme="minorHAnsi" w:hAnsiTheme="minorHAnsi" w:cstheme="minorBidi"/>
          <w:color w:val="auto"/>
          <w:sz w:val="22"/>
          <w:szCs w:val="22"/>
        </w:rPr>
        <w:t>he routes must satisfy the following requirements: (a) each route starts and terminates at the depot</w:t>
      </w:r>
      <w:r w:rsidR="009B187A">
        <w:rPr>
          <w:rFonts w:asciiTheme="minorHAnsi" w:hAnsiTheme="minorHAnsi" w:cstheme="minorBidi"/>
          <w:color w:val="auto"/>
          <w:sz w:val="22"/>
          <w:szCs w:val="22"/>
        </w:rPr>
        <w:t>;</w:t>
      </w:r>
      <w:r w:rsidR="00FE289F" w:rsidRPr="00FE289F">
        <w:rPr>
          <w:rFonts w:asciiTheme="minorHAnsi" w:hAnsiTheme="minorHAnsi" w:cstheme="minorBidi"/>
          <w:color w:val="auto"/>
          <w:sz w:val="22"/>
          <w:szCs w:val="22"/>
        </w:rPr>
        <w:t xml:space="preserve"> (b) every pickup or delivery node is visited exactly once; (c) the pickup and delivery nodes</w:t>
      </w:r>
      <w:r w:rsidR="00805699" w:rsidRPr="00805699">
        <w:rPr>
          <w:rFonts w:asciiTheme="minorHAnsi" w:hAnsiTheme="minorHAnsi" w:cstheme="minorBidi"/>
          <w:color w:val="auto"/>
          <w:sz w:val="22"/>
          <w:szCs w:val="22"/>
        </w:rPr>
        <w:t xml:space="preserve"> </w:t>
      </w:r>
      <w:r w:rsidR="00FE289F" w:rsidRPr="00FE289F">
        <w:rPr>
          <w:rFonts w:asciiTheme="minorHAnsi" w:hAnsiTheme="minorHAnsi" w:cstheme="minorBidi"/>
          <w:color w:val="auto"/>
          <w:sz w:val="22"/>
          <w:szCs w:val="22"/>
        </w:rPr>
        <w:t>associated with a single request mus</w:t>
      </w:r>
      <w:r w:rsidR="0079027D">
        <w:rPr>
          <w:rFonts w:asciiTheme="minorHAnsi" w:hAnsiTheme="minorHAnsi" w:cstheme="minorBidi"/>
          <w:color w:val="auto"/>
          <w:sz w:val="22"/>
          <w:szCs w:val="22"/>
        </w:rPr>
        <w:t>t be assigned to the same route</w:t>
      </w:r>
      <w:r w:rsidR="00FE289F" w:rsidRPr="00FE289F">
        <w:rPr>
          <w:rFonts w:asciiTheme="minorHAnsi" w:hAnsiTheme="minorHAnsi" w:cstheme="minorBidi"/>
          <w:color w:val="auto"/>
          <w:sz w:val="22"/>
          <w:szCs w:val="22"/>
        </w:rPr>
        <w:t xml:space="preserve"> with the pickup </w:t>
      </w:r>
      <w:r w:rsidR="009B187A">
        <w:rPr>
          <w:rFonts w:asciiTheme="minorHAnsi" w:hAnsiTheme="minorHAnsi" w:cstheme="minorBidi"/>
          <w:color w:val="auto"/>
          <w:sz w:val="22"/>
          <w:szCs w:val="22"/>
        </w:rPr>
        <w:t>node</w:t>
      </w:r>
      <w:r w:rsidR="00FE289F" w:rsidRPr="00FE289F">
        <w:rPr>
          <w:rFonts w:asciiTheme="minorHAnsi" w:hAnsiTheme="minorHAnsi" w:cstheme="minorBidi"/>
          <w:color w:val="auto"/>
          <w:sz w:val="22"/>
          <w:szCs w:val="22"/>
        </w:rPr>
        <w:t xml:space="preserve"> preceding the delivery one; (d) at no point of any route may the carrying load exceed</w:t>
      </w:r>
      <w:r w:rsidR="00FE289F" w:rsidRPr="009B187A">
        <w:rPr>
          <w:rFonts w:asciiTheme="minorHAnsi" w:hAnsiTheme="minorHAnsi" w:cstheme="minorBidi"/>
          <w:color w:val="auto"/>
          <w:sz w:val="22"/>
          <w:szCs w:val="22"/>
        </w:rPr>
        <w:t xml:space="preserve"> </w:t>
      </w:r>
      <w:r w:rsidR="00FE289F" w:rsidRPr="009B187A">
        <w:rPr>
          <w:rFonts w:asciiTheme="minorHAnsi" w:hAnsiTheme="minorHAnsi" w:cstheme="minorBidi"/>
          <w:i/>
          <w:color w:val="auto"/>
          <w:sz w:val="22"/>
          <w:szCs w:val="22"/>
        </w:rPr>
        <w:t>Q</w:t>
      </w:r>
      <w:r w:rsidR="00FE289F" w:rsidRPr="00FE289F">
        <w:rPr>
          <w:rFonts w:asciiTheme="minorHAnsi" w:hAnsiTheme="minorHAnsi" w:cstheme="minorBidi"/>
          <w:color w:val="auto"/>
          <w:sz w:val="22"/>
          <w:szCs w:val="22"/>
        </w:rPr>
        <w:t xml:space="preserve">; and (e) the total traveling time required by each </w:t>
      </w:r>
      <w:r w:rsidR="0079027D">
        <w:rPr>
          <w:rFonts w:asciiTheme="minorHAnsi" w:hAnsiTheme="minorHAnsi" w:cstheme="minorBidi"/>
          <w:color w:val="auto"/>
          <w:sz w:val="22"/>
          <w:szCs w:val="22"/>
        </w:rPr>
        <w:t>vehicle to return to the depot</w:t>
      </w:r>
      <w:r w:rsidR="00FE289F" w:rsidRPr="00FE289F">
        <w:rPr>
          <w:rFonts w:asciiTheme="minorHAnsi" w:hAnsiTheme="minorHAnsi" w:cstheme="minorBidi"/>
          <w:color w:val="auto"/>
          <w:sz w:val="22"/>
          <w:szCs w:val="22"/>
        </w:rPr>
        <w:t xml:space="preserve"> </w:t>
      </w:r>
      <w:r w:rsidR="00C43B78">
        <w:rPr>
          <w:rFonts w:asciiTheme="minorHAnsi" w:hAnsiTheme="minorHAnsi" w:cstheme="minorBidi"/>
          <w:color w:val="auto"/>
          <w:sz w:val="22"/>
          <w:szCs w:val="22"/>
        </w:rPr>
        <w:t>cannot</w:t>
      </w:r>
      <w:r w:rsidR="00FE289F" w:rsidRPr="00FE289F">
        <w:rPr>
          <w:rFonts w:asciiTheme="minorHAnsi" w:hAnsiTheme="minorHAnsi" w:cstheme="minorBidi"/>
          <w:color w:val="auto"/>
          <w:sz w:val="22"/>
          <w:szCs w:val="22"/>
        </w:rPr>
        <w:t xml:space="preserve"> exceed </w:t>
      </w:r>
      <w:r w:rsidR="008F0473" w:rsidRPr="009B187A">
        <w:rPr>
          <w:rFonts w:asciiTheme="minorHAnsi" w:hAnsiTheme="minorHAnsi" w:cstheme="minorBidi"/>
          <w:i/>
          <w:color w:val="auto"/>
          <w:sz w:val="22"/>
          <w:szCs w:val="22"/>
        </w:rPr>
        <w:t>T</w:t>
      </w:r>
      <w:r w:rsidR="00FE289F" w:rsidRPr="00FE289F">
        <w:rPr>
          <w:rFonts w:asciiTheme="minorHAnsi" w:hAnsiTheme="minorHAnsi" w:cstheme="minorBidi"/>
          <w:color w:val="auto"/>
          <w:sz w:val="22"/>
          <w:szCs w:val="22"/>
        </w:rPr>
        <w:t xml:space="preserve">. </w:t>
      </w:r>
      <w:bookmarkEnd w:id="149"/>
      <w:bookmarkEnd w:id="150"/>
      <w:bookmarkEnd w:id="151"/>
      <w:bookmarkEnd w:id="152"/>
    </w:p>
    <w:p w:rsidR="00E83B5C" w:rsidRPr="000F7F77" w:rsidRDefault="0079027D" w:rsidP="00F00EA5">
      <w:pPr>
        <w:autoSpaceDE w:val="0"/>
        <w:autoSpaceDN w:val="0"/>
        <w:adjustRightInd w:val="0"/>
        <w:spacing w:after="0"/>
        <w:ind w:firstLine="720"/>
        <w:jc w:val="both"/>
      </w:pPr>
      <w:bookmarkStart w:id="153" w:name="OLE_LINK631"/>
      <w:bookmarkStart w:id="154" w:name="OLE_LINK632"/>
      <w:bookmarkStart w:id="155" w:name="OLE_LINK633"/>
      <w:r>
        <w:t xml:space="preserve">For </w:t>
      </w:r>
      <w:r w:rsidR="00936A39">
        <w:t xml:space="preserve">the </w:t>
      </w:r>
      <w:r w:rsidR="00FE289F">
        <w:t>VRPCD</w:t>
      </w:r>
      <w:r w:rsidR="008F0473">
        <w:t>, one needs to di</w:t>
      </w:r>
      <w:r w:rsidR="00FE289F" w:rsidRPr="00083C58">
        <w:t xml:space="preserve">stinguish between pickup and delivery routes. </w:t>
      </w:r>
      <w:r w:rsidR="00632552" w:rsidRPr="00083C58">
        <w:t>A</w:t>
      </w:r>
      <w:r w:rsidR="006655EF" w:rsidRPr="00083C58">
        <w:t xml:space="preserve"> pickup route starts from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6655EF" w:rsidRPr="00083C58">
        <w:t>, visits a</w:t>
      </w:r>
      <w:r w:rsidR="006655EF" w:rsidRPr="006655EF">
        <w:t xml:space="preserve"> number of suppliers at most once, and returns to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216E05">
        <w:rPr>
          <w:rFonts w:cs="Times New Roman"/>
          <w:szCs w:val="24"/>
        </w:rPr>
        <w:t xml:space="preserve">, where the </w:t>
      </w:r>
      <w:r w:rsidR="00FE289F">
        <w:t>products are consolidated and loaded on the vehicles performing the delivery routes. Along these routes, vehicles visit customers to deliver the requested products.</w:t>
      </w:r>
      <w:r w:rsidR="000F7F77">
        <w:t xml:space="preserve"> </w:t>
      </w:r>
      <w:r w:rsidR="00FE289F">
        <w:t xml:space="preserve">The product consolidation activities </w:t>
      </w:r>
      <w:r w:rsidR="001553E1">
        <w:t>(unloading</w:t>
      </w:r>
      <w:r w:rsidR="001C5A47">
        <w:t xml:space="preserve"> </w:t>
      </w:r>
      <w:r w:rsidR="009B187A">
        <w:t>or</w:t>
      </w:r>
      <w:r w:rsidR="001C5A47">
        <w:t xml:space="preserve"> </w:t>
      </w:r>
      <w:r w:rsidR="001553E1">
        <w:t xml:space="preserve">loading) </w:t>
      </w:r>
      <w:r w:rsidR="00FE289F">
        <w:t xml:space="preserve">that take place at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FE289F">
        <w:t xml:space="preserve"> are assumed to </w:t>
      </w:r>
      <w:bookmarkStart w:id="156" w:name="OLE_LINK840"/>
      <w:bookmarkStart w:id="157" w:name="OLE_LINK841"/>
      <w:r w:rsidR="00FE289F">
        <w:t>require a</w:t>
      </w:r>
      <w:r w:rsidR="00805699" w:rsidRPr="00805699">
        <w:t xml:space="preserve"> </w:t>
      </w:r>
      <w:r w:rsidR="00FE289F">
        <w:t xml:space="preserve">constant amount of </w:t>
      </w:r>
      <w:r w:rsidR="00481422">
        <w:t xml:space="preserve">service </w:t>
      </w:r>
      <w:r w:rsidR="00FE289F">
        <w:t>time</w:t>
      </w:r>
      <w:bookmarkEnd w:id="156"/>
      <w:bookmarkEnd w:id="157"/>
      <w:r w:rsidR="006A085D" w:rsidRPr="006A085D">
        <w:t xml:space="preserve"> </w:t>
      </w:r>
      <w:r w:rsidR="008F0473">
        <w:rPr>
          <w:i/>
        </w:rPr>
        <w:t>s</w:t>
      </w:r>
      <w:bookmarkStart w:id="158" w:name="OLE_LINK21"/>
      <w:bookmarkStart w:id="159" w:name="OLE_LINK22"/>
      <w:bookmarkStart w:id="160" w:name="OLE_LINK53"/>
      <w:r w:rsidR="00936A39">
        <w:t xml:space="preserve">, </w:t>
      </w:r>
      <w:r w:rsidR="006A085D">
        <w:t>which is equal for both activities</w:t>
      </w:r>
      <w:r w:rsidR="006A085D" w:rsidRPr="006A085D">
        <w:t xml:space="preserve">, </w:t>
      </w:r>
      <w:r w:rsidR="00EC10F7">
        <w:t xml:space="preserve">regardless </w:t>
      </w:r>
      <w:r w:rsidR="00FE289F">
        <w:t xml:space="preserve">of </w:t>
      </w:r>
      <w:bookmarkEnd w:id="158"/>
      <w:bookmarkEnd w:id="159"/>
      <w:bookmarkEnd w:id="160"/>
      <w:r w:rsidR="00FE289F">
        <w:t>the</w:t>
      </w:r>
      <w:r w:rsidR="00FA32CA">
        <w:t xml:space="preserve"> </w:t>
      </w:r>
      <w:r w:rsidR="001C5A47">
        <w:t xml:space="preserve">unloading and </w:t>
      </w:r>
      <w:r w:rsidR="00FA32CA">
        <w:t>loading volumes.</w:t>
      </w:r>
      <w:r w:rsidR="00766567">
        <w:t xml:space="preserve"> Thus, in the case where a vehicle performs both a pickup and a delivery route, </w:t>
      </w:r>
      <w:bookmarkStart w:id="161" w:name="OLE_LINK842"/>
      <w:bookmarkStart w:id="162" w:name="OLE_LINK843"/>
      <w:bookmarkStart w:id="163" w:name="OLE_LINK844"/>
      <w:r w:rsidR="00766567">
        <w:t xml:space="preserve">the total service time at the </w:t>
      </w:r>
      <w:r w:rsidR="00216E05" w:rsidRPr="0097398B">
        <w:rPr>
          <w:rFonts w:cs="Times New Roman"/>
          <w:szCs w:val="24"/>
        </w:rPr>
        <w:t>cross</w:t>
      </w:r>
      <w:r w:rsidR="00216E05">
        <w:rPr>
          <w:rFonts w:cs="Times New Roman"/>
          <w:szCs w:val="24"/>
        </w:rPr>
        <w:t>-</w:t>
      </w:r>
      <w:r w:rsidR="00216E05" w:rsidRPr="0097398B">
        <w:rPr>
          <w:rFonts w:cs="Times New Roman"/>
          <w:szCs w:val="24"/>
        </w:rPr>
        <w:t xml:space="preserve">dock </w:t>
      </w:r>
      <w:r w:rsidR="00766567">
        <w:t>is equal to the sum of the unloading and loading times</w:t>
      </w:r>
      <w:r w:rsidR="00DC4F10">
        <w:t xml:space="preserve">, i.e., </w:t>
      </w:r>
      <w:r w:rsidR="00F54A58">
        <w:t>2</w:t>
      </w:r>
      <w:r w:rsidR="00F54A58" w:rsidRPr="00F54A58">
        <w:rPr>
          <w:i/>
        </w:rPr>
        <w:t>s</w:t>
      </w:r>
      <w:r w:rsidR="00766567">
        <w:t>.</w:t>
      </w:r>
      <w:bookmarkEnd w:id="161"/>
      <w:bookmarkEnd w:id="162"/>
      <w:bookmarkEnd w:id="163"/>
      <w:r w:rsidR="00766567">
        <w:t xml:space="preserve"> On the contrary, if a vehicle performs only a pickup or a delivery route, then the total service time</w:t>
      </w:r>
      <w:r w:rsidR="006D1CD3">
        <w:t xml:space="preserve"> </w:t>
      </w:r>
      <w:r w:rsidR="00766567">
        <w:t xml:space="preserve">at the </w:t>
      </w:r>
      <w:r w:rsidR="00216E05" w:rsidRPr="0097398B">
        <w:rPr>
          <w:rFonts w:cs="Times New Roman"/>
          <w:szCs w:val="24"/>
        </w:rPr>
        <w:t>cross</w:t>
      </w:r>
      <w:r w:rsidR="00216E05">
        <w:rPr>
          <w:rFonts w:cs="Times New Roman"/>
          <w:szCs w:val="24"/>
        </w:rPr>
        <w:t>-</w:t>
      </w:r>
      <w:r w:rsidR="00216E05" w:rsidRPr="0097398B">
        <w:rPr>
          <w:rFonts w:cs="Times New Roman"/>
          <w:szCs w:val="24"/>
        </w:rPr>
        <w:t xml:space="preserve">dock </w:t>
      </w:r>
      <w:r w:rsidR="00766567">
        <w:t>is equal to the</w:t>
      </w:r>
      <w:r w:rsidR="006D1CD3">
        <w:t xml:space="preserve"> </w:t>
      </w:r>
      <w:r w:rsidR="00766567">
        <w:t xml:space="preserve">unloading or the </w:t>
      </w:r>
      <w:bookmarkStart w:id="164" w:name="OLE_LINK845"/>
      <w:bookmarkStart w:id="165" w:name="OLE_LINK846"/>
      <w:bookmarkStart w:id="166" w:name="OLE_LINK847"/>
      <w:r w:rsidR="00766567">
        <w:t xml:space="preserve">loading </w:t>
      </w:r>
      <w:bookmarkEnd w:id="164"/>
      <w:bookmarkEnd w:id="165"/>
      <w:bookmarkEnd w:id="166"/>
      <w:r w:rsidR="00766567">
        <w:t>time</w:t>
      </w:r>
      <w:bookmarkEnd w:id="153"/>
      <w:bookmarkEnd w:id="154"/>
      <w:bookmarkEnd w:id="155"/>
      <w:r w:rsidR="00970FF4">
        <w:t xml:space="preserve"> </w:t>
      </w:r>
      <w:r w:rsidR="00970FF4" w:rsidRPr="00970FF4">
        <w:rPr>
          <w:i/>
        </w:rPr>
        <w:t>s</w:t>
      </w:r>
      <w:r w:rsidR="008F0473">
        <w:t>,</w:t>
      </w:r>
      <w:r w:rsidR="00481422">
        <w:t xml:space="preserve"> respectively</w:t>
      </w:r>
      <w:r w:rsidR="00AB4260">
        <w:t xml:space="preserve">. </w:t>
      </w:r>
      <w:r w:rsidR="00FE289F" w:rsidRPr="00546404">
        <w:t xml:space="preserve">Regarding the synchronization </w:t>
      </w:r>
      <w:r w:rsidR="00546404">
        <w:t xml:space="preserve">of </w:t>
      </w:r>
      <w:r w:rsidR="00AB4260">
        <w:t xml:space="preserve">the pickup and the delivery </w:t>
      </w:r>
      <w:r w:rsidR="001171B6">
        <w:t>routes</w:t>
      </w:r>
      <w:r w:rsidR="00FE289F" w:rsidRPr="00546404">
        <w:t>,</w:t>
      </w:r>
      <w:r w:rsidR="006D1CD3">
        <w:t xml:space="preserve"> </w:t>
      </w:r>
      <w:r w:rsidR="00481422">
        <w:t xml:space="preserve">it is ensured </w:t>
      </w:r>
      <w:r w:rsidR="00481422" w:rsidRPr="00E83B5C">
        <w:t>that all products to be loaded on</w:t>
      </w:r>
      <w:r w:rsidR="001171B6">
        <w:t xml:space="preserve"> a</w:t>
      </w:r>
      <w:r w:rsidR="00481422" w:rsidRPr="00E83B5C">
        <w:t xml:space="preserve"> vehicle </w:t>
      </w:r>
      <w:r w:rsidR="00481422">
        <w:t xml:space="preserve">for a delivery route </w:t>
      </w:r>
      <w:r w:rsidR="00481422" w:rsidRPr="00E83B5C">
        <w:t xml:space="preserve">are already available at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481422">
        <w:t xml:space="preserve">. This practically means that the departure time of vehicle </w:t>
      </w:r>
      <w:r w:rsidR="00481422" w:rsidRPr="00B440B8">
        <w:rPr>
          <w:i/>
        </w:rPr>
        <w:t>k</w:t>
      </w:r>
      <w:r w:rsidR="00481422">
        <w:t xml:space="preserve"> is equal to the </w:t>
      </w:r>
      <w:r w:rsidR="00481422" w:rsidRPr="00546404">
        <w:t xml:space="preserve">latest arrival time at the </w:t>
      </w:r>
      <w:r w:rsidR="00216E05" w:rsidRPr="0097398B">
        <w:rPr>
          <w:rFonts w:cs="Times New Roman"/>
          <w:szCs w:val="24"/>
        </w:rPr>
        <w:t>cross</w:t>
      </w:r>
      <w:r w:rsidR="00216E05">
        <w:rPr>
          <w:rFonts w:cs="Times New Roman"/>
          <w:szCs w:val="24"/>
        </w:rPr>
        <w:t>-</w:t>
      </w:r>
      <w:r w:rsidR="00216E05" w:rsidRPr="0097398B">
        <w:rPr>
          <w:rFonts w:cs="Times New Roman"/>
          <w:szCs w:val="24"/>
        </w:rPr>
        <w:t xml:space="preserve">dock </w:t>
      </w:r>
      <w:r w:rsidR="00481422" w:rsidRPr="00546404">
        <w:t xml:space="preserve">of </w:t>
      </w:r>
      <w:r w:rsidR="00D14B24">
        <w:t xml:space="preserve">the </w:t>
      </w:r>
      <w:r w:rsidR="00672444">
        <w:t>requests</w:t>
      </w:r>
      <w:r w:rsidR="006D1CD3">
        <w:t xml:space="preserve"> </w:t>
      </w:r>
      <w:r w:rsidR="00481422">
        <w:t xml:space="preserve">that will be delivered by </w:t>
      </w:r>
      <w:r w:rsidR="00481422" w:rsidRPr="00B440B8">
        <w:rPr>
          <w:i/>
        </w:rPr>
        <w:t>k</w:t>
      </w:r>
      <w:r w:rsidR="006D1CD3">
        <w:rPr>
          <w:i/>
        </w:rPr>
        <w:t xml:space="preserve"> </w:t>
      </w:r>
      <w:r w:rsidR="00D14B24" w:rsidRPr="00D14B24">
        <w:t>plus the total service time</w:t>
      </w:r>
      <w:r w:rsidR="00672444">
        <w:t xml:space="preserve"> at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481422" w:rsidRPr="00D14B24">
        <w:t>.</w:t>
      </w:r>
      <w:r w:rsidR="000F7F77">
        <w:t xml:space="preserve"> </w:t>
      </w:r>
      <w:r w:rsidR="00E515E3" w:rsidRPr="00546404">
        <w:t>T</w:t>
      </w:r>
      <w:r w:rsidR="00FE289F" w:rsidRPr="00546404">
        <w:t>he (pickup or delivery) routes are subject to the following constraints: (</w:t>
      </w:r>
      <w:r w:rsidR="00C4551B" w:rsidRPr="00546404">
        <w:rPr>
          <w:iCs/>
        </w:rPr>
        <w:t>a</w:t>
      </w:r>
      <w:r w:rsidR="00FE289F" w:rsidRPr="00546404">
        <w:t xml:space="preserve">) all routes start and end at the </w:t>
      </w:r>
      <w:r w:rsidR="00216E05" w:rsidRPr="0097398B">
        <w:rPr>
          <w:rFonts w:cs="Times New Roman"/>
          <w:szCs w:val="24"/>
        </w:rPr>
        <w:t>cross</w:t>
      </w:r>
      <w:r w:rsidR="00216E05">
        <w:rPr>
          <w:rFonts w:cs="Times New Roman"/>
          <w:szCs w:val="24"/>
        </w:rPr>
        <w:t>-</w:t>
      </w:r>
      <w:r w:rsidR="00216E05" w:rsidRPr="0097398B">
        <w:rPr>
          <w:rFonts w:cs="Times New Roman"/>
          <w:szCs w:val="24"/>
        </w:rPr>
        <w:t>dock</w:t>
      </w:r>
      <w:r w:rsidR="00FE289F" w:rsidRPr="00546404">
        <w:t>; (</w:t>
      </w:r>
      <w:r w:rsidR="00FE289F" w:rsidRPr="00546404">
        <w:rPr>
          <w:iCs/>
        </w:rPr>
        <w:t>b</w:t>
      </w:r>
      <w:r w:rsidR="00FE289F" w:rsidRPr="00546404">
        <w:t xml:space="preserve">) every pickup node is visited exactly once by a pickup vehicle; </w:t>
      </w:r>
      <w:r w:rsidR="00FE289F" w:rsidRPr="00546404">
        <w:lastRenderedPageBreak/>
        <w:t>(</w:t>
      </w:r>
      <w:r w:rsidR="00FE289F" w:rsidRPr="00546404">
        <w:rPr>
          <w:iCs/>
        </w:rPr>
        <w:t>c</w:t>
      </w:r>
      <w:r w:rsidR="00FE289F" w:rsidRPr="00546404">
        <w:t>) every delivery node is visited exactly once by a delivery vehicle, (</w:t>
      </w:r>
      <w:r w:rsidR="00FE289F" w:rsidRPr="00546404">
        <w:rPr>
          <w:iCs/>
        </w:rPr>
        <w:t>d</w:t>
      </w:r>
      <w:r w:rsidR="00FE289F" w:rsidRPr="00546404">
        <w:t xml:space="preserve">) the total product quantity assigned either to a pickup or a delivery route may not exceed the vehicle capacity </w:t>
      </w:r>
      <w:r w:rsidR="00FE289F" w:rsidRPr="004154C7">
        <w:rPr>
          <w:i/>
          <w:iCs/>
        </w:rPr>
        <w:t>Q</w:t>
      </w:r>
      <w:r w:rsidR="00FE289F" w:rsidRPr="00546404">
        <w:t>; (</w:t>
      </w:r>
      <w:r w:rsidR="00FE289F" w:rsidRPr="00546404">
        <w:rPr>
          <w:iCs/>
        </w:rPr>
        <w:t>e</w:t>
      </w:r>
      <w:r w:rsidR="00FE289F" w:rsidRPr="00546404">
        <w:t xml:space="preserve">) the total travel time of all related pairs of </w:t>
      </w:r>
      <w:r w:rsidR="001877B5">
        <w:t xml:space="preserve">both </w:t>
      </w:r>
      <w:r w:rsidR="00FE289F" w:rsidRPr="00546404">
        <w:t>pickup and delivery route</w:t>
      </w:r>
      <w:r w:rsidR="003A6947">
        <w:t>s</w:t>
      </w:r>
      <w:r w:rsidR="0099181A">
        <w:t xml:space="preserve"> </w:t>
      </w:r>
      <w:r w:rsidR="00FE289F" w:rsidRPr="00546404">
        <w:t xml:space="preserve">may not exceed </w:t>
      </w:r>
      <w:r w:rsidR="008F0473" w:rsidRPr="004154C7">
        <w:rPr>
          <w:i/>
          <w:iCs/>
        </w:rPr>
        <w:t>T</w:t>
      </w:r>
      <w:r w:rsidR="002C46B1" w:rsidRPr="00546404">
        <w:rPr>
          <w:iCs/>
        </w:rPr>
        <w:t>.</w:t>
      </w:r>
    </w:p>
    <w:p w:rsidR="0083235C" w:rsidRDefault="008F0473" w:rsidP="00F00EA5">
      <w:pPr>
        <w:spacing w:after="0"/>
        <w:ind w:firstLine="720"/>
        <w:jc w:val="both"/>
      </w:pPr>
      <w:r>
        <w:t>T</w:t>
      </w:r>
      <w:r w:rsidR="002C46B1">
        <w:t>he P</w:t>
      </w:r>
      <w:r w:rsidR="00FE289F">
        <w:t xml:space="preserve">DP and </w:t>
      </w:r>
      <w:r>
        <w:t xml:space="preserve">the </w:t>
      </w:r>
      <w:r w:rsidR="00FE289F">
        <w:t xml:space="preserve">VRPCD correspond to </w:t>
      </w:r>
      <w:r w:rsidR="002C46B1">
        <w:t>NP-</w:t>
      </w:r>
      <w:r w:rsidR="00FE289F">
        <w:t>hard combinatorial optimization problems</w:t>
      </w:r>
      <w:r w:rsidR="001E7274">
        <w:t xml:space="preserve"> </w:t>
      </w:r>
      <w:r w:rsidR="001551CD">
        <w:t>(</w:t>
      </w:r>
      <w:proofErr w:type="spellStart"/>
      <w:r w:rsidR="007278DA" w:rsidRPr="00E23D30">
        <w:rPr>
          <w:rFonts w:cs="Times New Roman"/>
          <w:color w:val="000000"/>
          <w:szCs w:val="24"/>
        </w:rPr>
        <w:t>Savelsbergh</w:t>
      </w:r>
      <w:proofErr w:type="spellEnd"/>
      <w:r w:rsidR="007278DA" w:rsidRPr="00E23D30">
        <w:rPr>
          <w:rFonts w:cs="Times New Roman"/>
          <w:color w:val="000000"/>
          <w:szCs w:val="24"/>
        </w:rPr>
        <w:t xml:space="preserve"> and Sol</w:t>
      </w:r>
      <w:r w:rsidR="007278DA">
        <w:rPr>
          <w:rFonts w:cs="Times New Roman"/>
          <w:color w:val="000000"/>
          <w:szCs w:val="24"/>
        </w:rPr>
        <w:t xml:space="preserve">, 1995, </w:t>
      </w:r>
      <w:proofErr w:type="spellStart"/>
      <w:r w:rsidR="001551CD">
        <w:t>Wen</w:t>
      </w:r>
      <w:proofErr w:type="spellEnd"/>
      <w:r w:rsidR="001551CD">
        <w:t xml:space="preserve"> et al.</w:t>
      </w:r>
      <w:r w:rsidR="00831867">
        <w:t xml:space="preserve"> </w:t>
      </w:r>
      <w:r w:rsidR="007278DA">
        <w:t>2009</w:t>
      </w:r>
      <w:r w:rsidR="001551CD">
        <w:t>)</w:t>
      </w:r>
      <w:r w:rsidR="00EE757F">
        <w:t xml:space="preserve">. </w:t>
      </w:r>
      <w:r w:rsidR="00DC4F10">
        <w:t xml:space="preserve">Therefore, substantial effort is needed to derive lower bounds and optimal solutions with complete and partial enumeration schemes even for small sized problems. For this reason, we resort to the development of local search </w:t>
      </w:r>
      <w:r w:rsidR="00FE289F">
        <w:t>metaheuristic algorithm</w:t>
      </w:r>
      <w:r w:rsidR="00DC4F10">
        <w:t xml:space="preserve"> capable of deriving high quality solutions in short computational times for medium and large scale problem instances</w:t>
      </w:r>
      <w:r w:rsidR="00FE289F">
        <w:t xml:space="preserve">. This is described </w:t>
      </w:r>
      <w:r w:rsidR="00CE706D">
        <w:t>i</w:t>
      </w:r>
      <w:r w:rsidR="00A56893">
        <w:t>n</w:t>
      </w:r>
      <w:r w:rsidR="00FE289F">
        <w:t xml:space="preserve"> </w:t>
      </w:r>
      <w:r w:rsidR="00F00EA5">
        <w:t>the next section</w:t>
      </w:r>
      <w:r w:rsidR="00DC4F10">
        <w:t>, and can be applied directly for solving both the PDP and the VRPCD</w:t>
      </w:r>
      <w:r w:rsidR="0083235C">
        <w:t>.</w:t>
      </w:r>
    </w:p>
    <w:p w:rsidR="00DA4B35" w:rsidRPr="00F00EA5" w:rsidRDefault="00DA4B35" w:rsidP="00DA4B35">
      <w:pPr>
        <w:spacing w:after="0"/>
        <w:jc w:val="both"/>
      </w:pPr>
    </w:p>
    <w:p w:rsidR="00022275" w:rsidRPr="0052673B" w:rsidRDefault="00F00EA5" w:rsidP="00DA4B35">
      <w:pPr>
        <w:spacing w:after="0"/>
        <w:jc w:val="both"/>
      </w:pPr>
      <w:r>
        <w:rPr>
          <w:b/>
        </w:rPr>
        <w:t>So</w:t>
      </w:r>
      <w:r w:rsidR="00DC6D8D">
        <w:rPr>
          <w:b/>
        </w:rPr>
        <w:t>lution m</w:t>
      </w:r>
      <w:r w:rsidR="00DF7BAF">
        <w:rPr>
          <w:b/>
        </w:rPr>
        <w:t>ethod</w:t>
      </w:r>
    </w:p>
    <w:p w:rsidR="00B20A00" w:rsidRDefault="00AB017D" w:rsidP="00714356">
      <w:pPr>
        <w:autoSpaceDE w:val="0"/>
        <w:autoSpaceDN w:val="0"/>
        <w:adjustRightInd w:val="0"/>
        <w:spacing w:after="0"/>
        <w:jc w:val="both"/>
      </w:pPr>
      <w:bookmarkStart w:id="167" w:name="OLE_LINK634"/>
      <w:bookmarkStart w:id="168" w:name="OLE_LINK635"/>
      <w:bookmarkStart w:id="169" w:name="OLE_LINK636"/>
      <w:r>
        <w:t xml:space="preserve">A </w:t>
      </w:r>
      <w:r w:rsidR="00B44D0A" w:rsidRPr="00FA32CA">
        <w:t xml:space="preserve">common </w:t>
      </w:r>
      <w:r w:rsidR="00C824CB" w:rsidRPr="00FA32CA">
        <w:t>optimization framework has been developed</w:t>
      </w:r>
      <w:r w:rsidR="00D15BCA" w:rsidRPr="00FA32CA">
        <w:t xml:space="preserve"> for </w:t>
      </w:r>
      <w:r w:rsidR="00C5704D">
        <w:t>solving</w:t>
      </w:r>
      <w:r w:rsidR="00D15BCA" w:rsidRPr="00FA32CA">
        <w:t xml:space="preserve"> the </w:t>
      </w:r>
      <w:r w:rsidR="00D33DE3" w:rsidRPr="00C824CB">
        <w:t>PDP and VRPCD</w:t>
      </w:r>
      <w:bookmarkStart w:id="170" w:name="OLE_LINK746"/>
      <w:bookmarkStart w:id="171" w:name="OLE_LINK747"/>
      <w:bookmarkStart w:id="172" w:name="OLE_LINK748"/>
      <w:r w:rsidR="00C824CB" w:rsidRPr="00FA32CA">
        <w:t>.</w:t>
      </w:r>
      <w:bookmarkStart w:id="173" w:name="OLE_LINK23"/>
      <w:r w:rsidR="00A66341">
        <w:t xml:space="preserve"> </w:t>
      </w:r>
      <w:r w:rsidR="00C5704D">
        <w:t>From the algorithmic viewpoint, t</w:t>
      </w:r>
      <w:r w:rsidR="00096770" w:rsidRPr="00F14315">
        <w:t>he proposed</w:t>
      </w:r>
      <w:r w:rsidR="00A66341">
        <w:t xml:space="preserve"> </w:t>
      </w:r>
      <w:r w:rsidR="00096770" w:rsidRPr="00F14315">
        <w:t xml:space="preserve">framework is initiated by a construction heuristic </w:t>
      </w:r>
      <w:r w:rsidR="00C5704D">
        <w:t xml:space="preserve">algorithm that is used </w:t>
      </w:r>
      <w:r w:rsidR="00096770" w:rsidRPr="00F14315">
        <w:t>to</w:t>
      </w:r>
      <w:r w:rsidR="00C5704D">
        <w:t xml:space="preserve"> generate an</w:t>
      </w:r>
      <w:r w:rsidR="00F14315">
        <w:t xml:space="preserve"> </w:t>
      </w:r>
      <w:r w:rsidR="00C5704D">
        <w:t xml:space="preserve">initial </w:t>
      </w:r>
      <w:r w:rsidR="004F6C43">
        <w:t xml:space="preserve">heuristic </w:t>
      </w:r>
      <w:r w:rsidR="00C5704D">
        <w:t>solution</w:t>
      </w:r>
      <w:r w:rsidR="00096770" w:rsidRPr="00F14315">
        <w:t xml:space="preserve">. </w:t>
      </w:r>
      <w:r w:rsidR="00C5704D">
        <w:t xml:space="preserve">This </w:t>
      </w:r>
      <w:r w:rsidR="004F6C43">
        <w:t xml:space="preserve">construction heuristic algorithm </w:t>
      </w:r>
      <w:r w:rsidR="00C5704D">
        <w:t xml:space="preserve">is described </w:t>
      </w:r>
      <w:r w:rsidR="00F00EA5">
        <w:t>below</w:t>
      </w:r>
      <w:r w:rsidR="00C5704D">
        <w:t>. Subsequently, the</w:t>
      </w:r>
      <w:r w:rsidR="00096770" w:rsidRPr="00F14315">
        <w:t xml:space="preserve"> </w:t>
      </w:r>
      <w:r w:rsidR="004F6C43">
        <w:t>generated</w:t>
      </w:r>
      <w:r w:rsidR="00096770" w:rsidRPr="00F14315">
        <w:t xml:space="preserve"> solution is</w:t>
      </w:r>
      <w:r w:rsidR="00F14315" w:rsidRPr="00F14315">
        <w:t xml:space="preserve"> </w:t>
      </w:r>
      <w:r w:rsidR="00C5704D">
        <w:t xml:space="preserve">locally </w:t>
      </w:r>
      <w:r w:rsidR="00096770" w:rsidRPr="00F14315">
        <w:t xml:space="preserve">improved </w:t>
      </w:r>
      <w:r w:rsidR="004F6C43">
        <w:t>via</w:t>
      </w:r>
      <w:r w:rsidR="00470F39">
        <w:t xml:space="preserve"> </w:t>
      </w:r>
      <w:r w:rsidR="00F14315" w:rsidRPr="00F14315">
        <w:t>a</w:t>
      </w:r>
      <w:r w:rsidR="00096770" w:rsidRPr="00F14315">
        <w:t xml:space="preserve"> </w:t>
      </w:r>
      <w:r w:rsidR="00C5704D">
        <w:t xml:space="preserve">single point trajectory </w:t>
      </w:r>
      <w:r w:rsidR="00096770" w:rsidRPr="00F14315">
        <w:t xml:space="preserve">local search </w:t>
      </w:r>
      <w:r w:rsidR="00C5704D">
        <w:t>metaheuristic algorithm</w:t>
      </w:r>
      <w:r w:rsidR="00096770" w:rsidRPr="00F14315">
        <w:t>.</w:t>
      </w:r>
      <w:bookmarkEnd w:id="167"/>
      <w:bookmarkEnd w:id="168"/>
      <w:bookmarkEnd w:id="169"/>
      <w:bookmarkEnd w:id="170"/>
      <w:bookmarkEnd w:id="171"/>
      <w:bookmarkEnd w:id="172"/>
      <w:r w:rsidR="00C5704D">
        <w:t xml:space="preserve"> </w:t>
      </w:r>
      <w:r w:rsidR="004F6C43">
        <w:t>In particular</w:t>
      </w:r>
      <w:r w:rsidR="00C5704D">
        <w:t xml:space="preserve">, </w:t>
      </w:r>
      <w:r w:rsidR="004F6C43">
        <w:t xml:space="preserve">a Tabu Search scheme is adopted that </w:t>
      </w:r>
      <w:r w:rsidR="00C5704D">
        <w:t xml:space="preserve">is equipped with edge-exchange neighborhood structures as well as </w:t>
      </w:r>
      <w:r w:rsidR="004F6C43">
        <w:t xml:space="preserve">with </w:t>
      </w:r>
      <w:r w:rsidR="00C5704D">
        <w:t xml:space="preserve">a static move descriptor </w:t>
      </w:r>
      <w:r w:rsidR="004F6C43">
        <w:t xml:space="preserve">mechanism </w:t>
      </w:r>
      <w:r w:rsidR="00C5704D">
        <w:t xml:space="preserve">for guiding the search process. </w:t>
      </w:r>
    </w:p>
    <w:p w:rsidR="00F00EA5" w:rsidRDefault="00F00EA5" w:rsidP="00D204A3">
      <w:pPr>
        <w:pStyle w:val="ListParagraph"/>
        <w:ind w:left="0"/>
        <w:outlineLvl w:val="0"/>
        <w:rPr>
          <w:i/>
        </w:rPr>
      </w:pPr>
    </w:p>
    <w:p w:rsidR="00F00EA5" w:rsidRDefault="00C824CB" w:rsidP="00F00EA5">
      <w:pPr>
        <w:pStyle w:val="ListParagraph"/>
        <w:ind w:left="0"/>
        <w:outlineLvl w:val="0"/>
        <w:rPr>
          <w:i/>
        </w:rPr>
      </w:pPr>
      <w:r w:rsidRPr="00531714">
        <w:rPr>
          <w:i/>
        </w:rPr>
        <w:t xml:space="preserve">Construction </w:t>
      </w:r>
      <w:bookmarkEnd w:id="173"/>
      <w:r w:rsidR="00DC6D8D">
        <w:rPr>
          <w:i/>
        </w:rPr>
        <w:t>heuristic a</w:t>
      </w:r>
      <w:r w:rsidR="004F6C43">
        <w:rPr>
          <w:i/>
        </w:rPr>
        <w:t>lgorithm</w:t>
      </w:r>
    </w:p>
    <w:p w:rsidR="001E77B3" w:rsidRPr="00F00EA5" w:rsidRDefault="00092D08" w:rsidP="00F00EA5">
      <w:pPr>
        <w:pStyle w:val="ListParagraph"/>
        <w:ind w:left="0"/>
        <w:jc w:val="both"/>
        <w:outlineLvl w:val="0"/>
        <w:rPr>
          <w:i/>
        </w:rPr>
      </w:pPr>
      <w:r w:rsidRPr="00092D08">
        <w:t xml:space="preserve">The </w:t>
      </w:r>
      <w:r w:rsidR="00C5704D">
        <w:t xml:space="preserve">proposed </w:t>
      </w:r>
      <w:r w:rsidRPr="00092D08">
        <w:t xml:space="preserve">construction heuristic </w:t>
      </w:r>
      <w:r w:rsidR="00C5704D">
        <w:t>algorithm works as follows: Initially,</w:t>
      </w:r>
      <w:r w:rsidRPr="00092D08">
        <w:t xml:space="preserve"> </w:t>
      </w:r>
      <w:r w:rsidR="00C5704D">
        <w:t>a</w:t>
      </w:r>
      <w:r w:rsidRPr="00092D08">
        <w:t xml:space="preserve"> new empty ro</w:t>
      </w:r>
      <w:r w:rsidR="003A6947">
        <w:t>ute</w:t>
      </w:r>
      <w:r w:rsidR="00C5704D">
        <w:t xml:space="preserve"> is generated that</w:t>
      </w:r>
      <w:r w:rsidR="003A6947">
        <w:t xml:space="preserve"> contains the </w:t>
      </w:r>
      <w:r w:rsidR="00714356">
        <w:t xml:space="preserve">depot </w:t>
      </w:r>
      <w:r w:rsidRPr="00092D08">
        <w:t xml:space="preserve">at the beginning and </w:t>
      </w:r>
      <w:r w:rsidR="00C5704D">
        <w:t xml:space="preserve">at </w:t>
      </w:r>
      <w:r w:rsidR="00E05F70">
        <w:t>the end</w:t>
      </w:r>
      <w:r w:rsidRPr="00092D08">
        <w:t xml:space="preserve"> of the route.</w:t>
      </w:r>
      <w:r>
        <w:t xml:space="preserve"> Then</w:t>
      </w:r>
      <w:r w:rsidR="00C5704D">
        <w:t>,</w:t>
      </w:r>
      <w:r>
        <w:t xml:space="preserve"> the cost</w:t>
      </w:r>
      <w:r w:rsidR="00C5704D">
        <w:t xml:space="preserve"> (detour)</w:t>
      </w:r>
      <w:r>
        <w:t xml:space="preserve"> for </w:t>
      </w:r>
      <w:r w:rsidRPr="00092D08">
        <w:t xml:space="preserve">inserting each unassigned </w:t>
      </w:r>
      <w:r>
        <w:t>node (</w:t>
      </w:r>
      <w:r w:rsidR="00317EE5">
        <w:t>pickup or delivery</w:t>
      </w:r>
      <w:r>
        <w:t>)</w:t>
      </w:r>
      <w:r w:rsidRPr="00092D08">
        <w:t xml:space="preserve"> to every feasible </w:t>
      </w:r>
      <w:r w:rsidRPr="00B77749">
        <w:t xml:space="preserve">insertion position is </w:t>
      </w:r>
      <w:r w:rsidR="00C5704D">
        <w:t>determined</w:t>
      </w:r>
      <w:r w:rsidRPr="00B77749">
        <w:t>.</w:t>
      </w:r>
      <w:r w:rsidR="00A66341" w:rsidRPr="00B77749">
        <w:t xml:space="preserve"> </w:t>
      </w:r>
      <w:r w:rsidR="00C824CB" w:rsidRPr="00B77749">
        <w:t>For both</w:t>
      </w:r>
      <w:r w:rsidRPr="00B77749">
        <w:t xml:space="preserve"> </w:t>
      </w:r>
      <w:r w:rsidR="00C5704D">
        <w:t>problem</w:t>
      </w:r>
      <w:r w:rsidR="004F6C43">
        <w:t xml:space="preserve"> </w:t>
      </w:r>
      <w:r w:rsidR="00C5704D">
        <w:t>s</w:t>
      </w:r>
      <w:r w:rsidR="004F6C43">
        <w:t>ettings</w:t>
      </w:r>
      <w:r w:rsidRPr="00B77749">
        <w:t>,</w:t>
      </w:r>
      <w:r w:rsidR="00C824CB" w:rsidRPr="00B77749">
        <w:t xml:space="preserve"> a minimum cost insertion procedure</w:t>
      </w:r>
      <w:r w:rsidRPr="00B77749">
        <w:t xml:space="preserve"> is employed</w:t>
      </w:r>
      <w:r w:rsidR="00C5704D">
        <w:t>.</w:t>
      </w:r>
      <w:r w:rsidR="00C824CB" w:rsidRPr="00B77749">
        <w:t xml:space="preserve"> More specifically, for the PDP </w:t>
      </w:r>
      <w:proofErr w:type="gramStart"/>
      <w:r w:rsidR="00C824CB" w:rsidRPr="00B77749">
        <w:t xml:space="preserve">at </w:t>
      </w:r>
      <w:r w:rsidR="00C5704D">
        <w:t>each iteration</w:t>
      </w:r>
      <w:proofErr w:type="gramEnd"/>
      <w:r w:rsidR="004E79C4" w:rsidRPr="00B77749">
        <w:t xml:space="preserve"> the pick</w:t>
      </w:r>
      <w:r w:rsidR="00C824CB" w:rsidRPr="00B77749">
        <w:t xml:space="preserve">up and delivery pair insertion </w:t>
      </w:r>
      <w:r w:rsidR="00C5704D">
        <w:t>that</w:t>
      </w:r>
      <w:r w:rsidR="00C824CB" w:rsidRPr="00B77749">
        <w:t xml:space="preserve"> minimizes the additional travel cost is identified and </w:t>
      </w:r>
      <w:r w:rsidR="00C5704D">
        <w:t>applied</w:t>
      </w:r>
      <w:r w:rsidR="00C824CB" w:rsidRPr="00B77749">
        <w:t xml:space="preserve">. </w:t>
      </w:r>
      <w:r w:rsidR="00725438">
        <w:t xml:space="preserve">For </w:t>
      </w:r>
      <w:r w:rsidR="00725438" w:rsidRPr="00B77749">
        <w:t>the VRPCD,</w:t>
      </w:r>
      <w:r w:rsidR="00725438">
        <w:t xml:space="preserve"> </w:t>
      </w:r>
      <w:r w:rsidR="00725438" w:rsidRPr="00E60DCF">
        <w:t xml:space="preserve">due to the vehicle synchronization constraints, </w:t>
      </w:r>
      <w:r w:rsidR="00725438">
        <w:t xml:space="preserve">the set of pickup routes is initially constructed </w:t>
      </w:r>
      <w:r w:rsidR="00725438" w:rsidRPr="00E60DCF">
        <w:t>by inserting un</w:t>
      </w:r>
      <w:r w:rsidR="00A52C25">
        <w:t>-</w:t>
      </w:r>
      <w:r w:rsidR="00725438" w:rsidRPr="00E60DCF">
        <w:t xml:space="preserve">routed </w:t>
      </w:r>
      <w:r w:rsidR="00317EE5">
        <w:t>pickup nodes</w:t>
      </w:r>
      <w:r w:rsidR="00725438" w:rsidRPr="00E60DCF">
        <w:t xml:space="preserve"> iteratively</w:t>
      </w:r>
      <w:r w:rsidR="00725438">
        <w:t xml:space="preserve"> </w:t>
      </w:r>
      <w:r w:rsidR="00725438" w:rsidRPr="00E60DCF">
        <w:t>at insertion positions that minimally increase the</w:t>
      </w:r>
      <w:r w:rsidR="00725438">
        <w:t xml:space="preserve"> </w:t>
      </w:r>
      <w:r w:rsidR="00725438" w:rsidRPr="00E60DCF">
        <w:t>traveling distance. The delivery routes are then constructed</w:t>
      </w:r>
      <w:r w:rsidR="00676B16" w:rsidRPr="00E60DCF">
        <w:t xml:space="preserve"> by inserting un</w:t>
      </w:r>
      <w:r w:rsidR="00A52C25">
        <w:t>-</w:t>
      </w:r>
      <w:r w:rsidR="00676B16" w:rsidRPr="00E60DCF">
        <w:t xml:space="preserve">routed </w:t>
      </w:r>
      <w:r w:rsidR="00317EE5">
        <w:t>delivery nodes</w:t>
      </w:r>
      <w:r w:rsidR="00676B16" w:rsidRPr="00E60DCF">
        <w:t xml:space="preserve"> at positions so that </w:t>
      </w:r>
      <w:r w:rsidR="00C824CB" w:rsidRPr="00B77749">
        <w:t xml:space="preserve">the additional travel cost is </w:t>
      </w:r>
      <w:r w:rsidR="00676B16">
        <w:t>minimized</w:t>
      </w:r>
      <w:r w:rsidR="00725438">
        <w:t xml:space="preserve">. </w:t>
      </w:r>
      <w:r w:rsidR="00A52C25">
        <w:t xml:space="preserve">Whenever no feasible insertion positions are found, a new vehicle route is initiated to serve the un-routed set of pickup or delivery customers. To that end, an initial solution is obtained </w:t>
      </w:r>
      <w:r w:rsidR="00520CC4" w:rsidRPr="00B77749">
        <w:t xml:space="preserve">when all nodes </w:t>
      </w:r>
      <w:r w:rsidR="005E7739" w:rsidRPr="00B77749">
        <w:t>are</w:t>
      </w:r>
      <w:r w:rsidR="004F6C43">
        <w:t xml:space="preserve"> assigned to </w:t>
      </w:r>
      <w:r w:rsidR="00C5704D">
        <w:t xml:space="preserve">vehicle </w:t>
      </w:r>
      <w:r w:rsidR="00520CC4" w:rsidRPr="00B77749">
        <w:t>route</w:t>
      </w:r>
      <w:r w:rsidR="004F6C43">
        <w:t>s</w:t>
      </w:r>
      <w:r w:rsidR="00520CC4" w:rsidRPr="00B77749">
        <w:t xml:space="preserve">. </w:t>
      </w:r>
      <w:r w:rsidR="00C824CB" w:rsidRPr="00B77749">
        <w:t xml:space="preserve">Note that for both </w:t>
      </w:r>
      <w:r w:rsidR="00C5704D">
        <w:t>problems</w:t>
      </w:r>
      <w:r w:rsidR="00C824CB" w:rsidRPr="00B77749">
        <w:t xml:space="preserve"> insertions must satisfy the</w:t>
      </w:r>
      <w:r w:rsidR="00A52C25">
        <w:t xml:space="preserve"> </w:t>
      </w:r>
      <w:r w:rsidR="004F6C43">
        <w:t>corresponding</w:t>
      </w:r>
      <w:r w:rsidR="00A52C25">
        <w:t xml:space="preserve"> </w:t>
      </w:r>
      <w:r w:rsidR="00DF5301">
        <w:t>problem</w:t>
      </w:r>
      <w:r w:rsidR="00A52C25">
        <w:t xml:space="preserve"> constraints, and n</w:t>
      </w:r>
      <w:r w:rsidR="00C824CB" w:rsidRPr="00B77749">
        <w:t xml:space="preserve">o limit is </w:t>
      </w:r>
      <w:r w:rsidR="004F6C43">
        <w:t>imposed</w:t>
      </w:r>
      <w:r w:rsidR="00C824CB" w:rsidRPr="00B77749">
        <w:t xml:space="preserve"> for the total number of </w:t>
      </w:r>
      <w:r w:rsidR="00C5704D">
        <w:t xml:space="preserve">vehicle </w:t>
      </w:r>
      <w:r w:rsidR="00C824CB" w:rsidRPr="00B77749">
        <w:t>routes</w:t>
      </w:r>
      <w:bookmarkStart w:id="174" w:name="OLE_LINK39"/>
      <w:r w:rsidR="00C5704D">
        <w:t>.</w:t>
      </w:r>
    </w:p>
    <w:p w:rsidR="003E2EE4" w:rsidRPr="00531714" w:rsidRDefault="00DC6D8D" w:rsidP="00D204A3">
      <w:pPr>
        <w:autoSpaceDE w:val="0"/>
        <w:autoSpaceDN w:val="0"/>
        <w:adjustRightInd w:val="0"/>
        <w:spacing w:after="0"/>
        <w:jc w:val="both"/>
        <w:outlineLvl w:val="0"/>
        <w:rPr>
          <w:i/>
        </w:rPr>
      </w:pPr>
      <w:r>
        <w:rPr>
          <w:i/>
        </w:rPr>
        <w:t>Tabu S</w:t>
      </w:r>
      <w:r w:rsidR="00C5704D">
        <w:rPr>
          <w:i/>
        </w:rPr>
        <w:t xml:space="preserve">earch </w:t>
      </w:r>
    </w:p>
    <w:p w:rsidR="001C40EE" w:rsidRDefault="00594C80" w:rsidP="00922B2D">
      <w:pPr>
        <w:autoSpaceDE w:val="0"/>
        <w:autoSpaceDN w:val="0"/>
        <w:adjustRightInd w:val="0"/>
        <w:spacing w:after="0"/>
        <w:jc w:val="both"/>
      </w:pPr>
      <w:r>
        <w:t xml:space="preserve">Given an initial </w:t>
      </w:r>
      <w:r w:rsidR="00A52C25">
        <w:t xml:space="preserve">heuristic </w:t>
      </w:r>
      <w:r>
        <w:t xml:space="preserve">solution, </w:t>
      </w:r>
      <w:r w:rsidR="00A52C25">
        <w:t xml:space="preserve">a Tabu Search metaheuristic </w:t>
      </w:r>
      <w:r w:rsidR="003E2EE4" w:rsidRPr="00FC7CCB">
        <w:t xml:space="preserve">algorithm </w:t>
      </w:r>
      <w:r w:rsidR="00A52C25">
        <w:t xml:space="preserve">is applied for further improvement. The latter </w:t>
      </w:r>
      <w:r w:rsidR="003E2EE4" w:rsidRPr="00FC7CCB">
        <w:t xml:space="preserve">explores the solution search space by performing </w:t>
      </w:r>
      <w:r w:rsidR="00063C88">
        <w:t xml:space="preserve">edge-exchange </w:t>
      </w:r>
      <w:r w:rsidR="004F6C43">
        <w:t xml:space="preserve">local </w:t>
      </w:r>
      <w:r w:rsidR="003E2EE4" w:rsidRPr="00FC7CCB">
        <w:t xml:space="preserve">moves </w:t>
      </w:r>
      <w:r w:rsidR="00FC7CCB" w:rsidRPr="00FC7CCB">
        <w:t xml:space="preserve">from a </w:t>
      </w:r>
      <w:r w:rsidR="003E2EE4" w:rsidRPr="00FC7CCB">
        <w:t>current</w:t>
      </w:r>
      <w:r w:rsidR="00FC7CCB" w:rsidRPr="00FC7CCB">
        <w:t xml:space="preserve"> solution to another</w:t>
      </w:r>
      <w:r w:rsidR="004F6C43">
        <w:t xml:space="preserve"> neighboring solution</w:t>
      </w:r>
      <w:r w:rsidR="00FC7CCB" w:rsidRPr="00FC7CCB">
        <w:t>.</w:t>
      </w:r>
      <w:r w:rsidR="00063C88">
        <w:t xml:space="preserve"> These neighborhood structures are described below. </w:t>
      </w:r>
    </w:p>
    <w:p w:rsidR="003F2893" w:rsidRDefault="003F2893" w:rsidP="00922B2D">
      <w:pPr>
        <w:autoSpaceDE w:val="0"/>
        <w:autoSpaceDN w:val="0"/>
        <w:adjustRightInd w:val="0"/>
        <w:spacing w:after="0"/>
        <w:jc w:val="both"/>
      </w:pPr>
    </w:p>
    <w:p w:rsidR="003F2893" w:rsidRPr="00DA4B35" w:rsidRDefault="003F2893" w:rsidP="00922B2D">
      <w:pPr>
        <w:autoSpaceDE w:val="0"/>
        <w:autoSpaceDN w:val="0"/>
        <w:adjustRightInd w:val="0"/>
        <w:spacing w:after="0"/>
        <w:jc w:val="both"/>
        <w:rPr>
          <w:lang w:val="el-GR"/>
        </w:rPr>
      </w:pPr>
    </w:p>
    <w:p w:rsidR="00F00EA5" w:rsidRDefault="00C824CB" w:rsidP="00F00EA5">
      <w:pPr>
        <w:spacing w:after="0"/>
        <w:jc w:val="both"/>
        <w:outlineLvl w:val="0"/>
        <w:rPr>
          <w:i/>
        </w:rPr>
      </w:pPr>
      <w:r w:rsidRPr="00531714">
        <w:rPr>
          <w:i/>
        </w:rPr>
        <w:lastRenderedPageBreak/>
        <w:t xml:space="preserve">Neighborhood </w:t>
      </w:r>
      <w:r w:rsidR="00DC6D8D">
        <w:rPr>
          <w:i/>
        </w:rPr>
        <w:t>s</w:t>
      </w:r>
      <w:r w:rsidRPr="00531714">
        <w:rPr>
          <w:i/>
        </w:rPr>
        <w:t>tructures</w:t>
      </w:r>
      <w:bookmarkStart w:id="175" w:name="OLE_LINK89"/>
      <w:bookmarkStart w:id="176" w:name="OLE_LINK90"/>
      <w:bookmarkEnd w:id="174"/>
    </w:p>
    <w:p w:rsidR="00B20A00" w:rsidRPr="00F00EA5" w:rsidRDefault="004F6C43" w:rsidP="00F00EA5">
      <w:pPr>
        <w:spacing w:after="0"/>
        <w:jc w:val="both"/>
        <w:outlineLvl w:val="0"/>
        <w:rPr>
          <w:i/>
        </w:rPr>
      </w:pPr>
      <w:r>
        <w:t xml:space="preserve">Although the </w:t>
      </w:r>
      <w:r w:rsidRPr="00C824CB">
        <w:t>local search framework</w:t>
      </w:r>
      <w:r>
        <w:t xml:space="preserve"> used f</w:t>
      </w:r>
      <w:r w:rsidR="00C4729D">
        <w:t xml:space="preserve">or </w:t>
      </w:r>
      <w:r>
        <w:t xml:space="preserve">solving </w:t>
      </w:r>
      <w:r w:rsidR="00C4729D">
        <w:t xml:space="preserve">the PDP and </w:t>
      </w:r>
      <w:r>
        <w:t xml:space="preserve">the </w:t>
      </w:r>
      <w:r w:rsidR="00C4729D">
        <w:t>VRPCD</w:t>
      </w:r>
      <w:r>
        <w:t xml:space="preserve"> is common</w:t>
      </w:r>
      <w:r w:rsidR="00C4729D">
        <w:t>,</w:t>
      </w:r>
      <w:r w:rsidR="00FC7CCB" w:rsidRPr="00C824CB">
        <w:t xml:space="preserve"> </w:t>
      </w:r>
      <w:bookmarkStart w:id="177" w:name="OLE_LINK752"/>
      <w:bookmarkStart w:id="178" w:name="OLE_LINK753"/>
      <w:bookmarkStart w:id="179" w:name="OLE_LINK754"/>
      <w:r w:rsidR="00C4729D">
        <w:t>the</w:t>
      </w:r>
      <w:r w:rsidR="00C824CB" w:rsidRPr="00C824CB">
        <w:t xml:space="preserve"> </w:t>
      </w:r>
      <w:r w:rsidR="00D91A0A" w:rsidRPr="00D91A0A">
        <w:rPr>
          <w:rFonts w:cs="Times New Roman"/>
        </w:rPr>
        <w:t>neighborhood</w:t>
      </w:r>
      <w:r w:rsidR="00D91A0A">
        <w:t xml:space="preserve"> structures </w:t>
      </w:r>
      <w:r w:rsidR="00AD2310">
        <w:t>considered</w:t>
      </w:r>
      <w:r w:rsidR="00C4729D">
        <w:t xml:space="preserve"> </w:t>
      </w:r>
      <w:r>
        <w:t xml:space="preserve">for each problem </w:t>
      </w:r>
      <w:r w:rsidR="00C4729D">
        <w:t>are</w:t>
      </w:r>
      <w:r w:rsidR="00C824CB" w:rsidRPr="00C824CB">
        <w:t xml:space="preserve"> differentiated </w:t>
      </w:r>
      <w:r>
        <w:t>with respect to</w:t>
      </w:r>
      <w:r w:rsidR="00C824CB" w:rsidRPr="00C824CB">
        <w:t xml:space="preserve"> the node pairing requirement</w:t>
      </w:r>
      <w:r w:rsidR="003547AC">
        <w:t>s</w:t>
      </w:r>
      <w:r w:rsidR="00C824CB" w:rsidRPr="00C824CB">
        <w:t xml:space="preserve">. </w:t>
      </w:r>
      <w:bookmarkEnd w:id="177"/>
      <w:bookmarkEnd w:id="178"/>
      <w:bookmarkEnd w:id="179"/>
      <w:r w:rsidR="00C824CB" w:rsidRPr="00C824CB">
        <w:t>More specifically, for the PDP we make use of pair relocations</w:t>
      </w:r>
      <w:r w:rsidR="00754A86">
        <w:t>,</w:t>
      </w:r>
      <w:r w:rsidR="00063C88">
        <w:t xml:space="preserve"> </w:t>
      </w:r>
      <w:r w:rsidR="00C824CB" w:rsidRPr="00C824CB">
        <w:t>generali</w:t>
      </w:r>
      <w:r w:rsidR="00F2009F">
        <w:t xml:space="preserve">zed pair </w:t>
      </w:r>
      <w:r w:rsidR="00EB50D6">
        <w:t>exchange</w:t>
      </w:r>
      <w:r w:rsidR="00F2009F">
        <w:t xml:space="preserve">s and 2-opt </w:t>
      </w:r>
      <w:r>
        <w:t xml:space="preserve">local </w:t>
      </w:r>
      <w:r w:rsidR="00F2009F">
        <w:t>moves</w:t>
      </w:r>
      <w:r w:rsidR="00754A86">
        <w:t xml:space="preserve"> </w:t>
      </w:r>
      <w:r w:rsidR="00754A86" w:rsidRPr="00E73CB0">
        <w:t>(</w:t>
      </w:r>
      <w:proofErr w:type="spellStart"/>
      <w:r w:rsidR="00754A86">
        <w:t>Nanry</w:t>
      </w:r>
      <w:proofErr w:type="spellEnd"/>
      <w:r w:rsidR="00754A86">
        <w:t xml:space="preserve"> and Barnes</w:t>
      </w:r>
      <w:r w:rsidR="00754A86" w:rsidRPr="00E73CB0">
        <w:t>, 2000)</w:t>
      </w:r>
      <w:r w:rsidR="00F2009F" w:rsidRPr="00F2009F">
        <w:t xml:space="preserve">. </w:t>
      </w:r>
      <w:r>
        <w:t>On the other hand, t</w:t>
      </w:r>
      <w:r w:rsidR="00C824CB" w:rsidRPr="00C824CB">
        <w:t xml:space="preserve">he corresponding </w:t>
      </w:r>
      <w:r w:rsidR="00D91A0A" w:rsidRPr="00D91A0A">
        <w:rPr>
          <w:rFonts w:cs="Times New Roman"/>
        </w:rPr>
        <w:t>neighborhood</w:t>
      </w:r>
      <w:r w:rsidR="00D91A0A">
        <w:t xml:space="preserve"> structures </w:t>
      </w:r>
      <w:r w:rsidR="00C824CB" w:rsidRPr="00C824CB">
        <w:t>employed for the VRPCD</w:t>
      </w:r>
      <w:r w:rsidR="00625F68">
        <w:t xml:space="preserve"> </w:t>
      </w:r>
      <w:r w:rsidR="00C824CB" w:rsidRPr="00C824CB">
        <w:t xml:space="preserve">perform node relocations, node </w:t>
      </w:r>
      <w:r w:rsidR="00EB50D6">
        <w:t>exchange</w:t>
      </w:r>
      <w:r w:rsidR="00C824CB" w:rsidRPr="00C824CB">
        <w:t>s and 2-</w:t>
      </w:r>
      <w:proofErr w:type="gramStart"/>
      <w:r w:rsidR="00C824CB" w:rsidRPr="00C824CB">
        <w:t>opt</w:t>
      </w:r>
      <w:proofErr w:type="gramEnd"/>
      <w:r w:rsidR="00C824CB" w:rsidRPr="00C824CB">
        <w:t xml:space="preserve"> </w:t>
      </w:r>
      <w:r>
        <w:t xml:space="preserve">local </w:t>
      </w:r>
      <w:r w:rsidR="00C824CB" w:rsidRPr="00C824CB">
        <w:t xml:space="preserve">moves </w:t>
      </w:r>
      <w:r w:rsidR="00E73CB0" w:rsidRPr="00E73CB0">
        <w:t>(</w:t>
      </w:r>
      <w:proofErr w:type="spellStart"/>
      <w:r w:rsidR="00E73CB0">
        <w:t>Zachariadis</w:t>
      </w:r>
      <w:proofErr w:type="spellEnd"/>
      <w:r w:rsidR="00E73CB0">
        <w:t xml:space="preserve"> and </w:t>
      </w:r>
      <w:proofErr w:type="spellStart"/>
      <w:r w:rsidR="00E73CB0">
        <w:t>Kiranoudis</w:t>
      </w:r>
      <w:proofErr w:type="spellEnd"/>
      <w:r w:rsidR="00E73CB0" w:rsidRPr="00E73CB0">
        <w:t>, 2010</w:t>
      </w:r>
      <w:r w:rsidR="00E73CB0">
        <w:t>)</w:t>
      </w:r>
      <w:r w:rsidR="00C824CB" w:rsidRPr="00C824CB">
        <w:t>.</w:t>
      </w:r>
      <w:r w:rsidR="00E73CB0" w:rsidRPr="00E73CB0">
        <w:t xml:space="preserve"> </w:t>
      </w:r>
      <w:r w:rsidR="00AD2310">
        <w:t>In both cases, a</w:t>
      </w:r>
      <w:r>
        <w:t xml:space="preserve"> lexicographic </w:t>
      </w:r>
      <w:r w:rsidR="00AD2310">
        <w:t xml:space="preserve">neighborhood </w:t>
      </w:r>
      <w:r>
        <w:t>evaluation scheme is adopted, while only feasible solutions are considered</w:t>
      </w:r>
      <w:r w:rsidR="00FC7CCB">
        <w:t>.</w:t>
      </w:r>
    </w:p>
    <w:p w:rsidR="00D91A0A" w:rsidRDefault="00D91A0A" w:rsidP="00D91A0A">
      <w:pPr>
        <w:autoSpaceDE w:val="0"/>
        <w:autoSpaceDN w:val="0"/>
        <w:adjustRightInd w:val="0"/>
        <w:spacing w:after="0"/>
        <w:jc w:val="both"/>
      </w:pPr>
    </w:p>
    <w:p w:rsidR="00F00EA5" w:rsidRDefault="00C824CB" w:rsidP="00F00EA5">
      <w:pPr>
        <w:pStyle w:val="RoadefTexte"/>
        <w:spacing w:after="0" w:line="276" w:lineRule="auto"/>
        <w:ind w:firstLine="0"/>
        <w:outlineLvl w:val="0"/>
        <w:rPr>
          <w:rFonts w:asciiTheme="minorHAnsi" w:eastAsiaTheme="minorHAnsi" w:hAnsiTheme="minorHAnsi" w:cstheme="minorBidi"/>
          <w:i/>
          <w:lang w:val="en-US"/>
        </w:rPr>
      </w:pPr>
      <w:bookmarkStart w:id="180" w:name="OLE_LINK640"/>
      <w:bookmarkStart w:id="181" w:name="OLE_LINK641"/>
      <w:bookmarkStart w:id="182" w:name="OLE_LINK642"/>
      <w:r w:rsidRPr="00531714">
        <w:rPr>
          <w:rFonts w:asciiTheme="minorHAnsi" w:eastAsiaTheme="minorHAnsi" w:hAnsiTheme="minorHAnsi" w:cstheme="minorBidi"/>
          <w:i/>
          <w:lang w:val="en-US"/>
        </w:rPr>
        <w:t xml:space="preserve">Relocation </w:t>
      </w:r>
      <w:bookmarkEnd w:id="180"/>
      <w:bookmarkEnd w:id="181"/>
      <w:bookmarkEnd w:id="182"/>
      <w:r w:rsidR="00D91A0A">
        <w:rPr>
          <w:rFonts w:asciiTheme="minorHAnsi" w:eastAsiaTheme="minorHAnsi" w:hAnsiTheme="minorHAnsi" w:cstheme="minorBidi"/>
          <w:i/>
          <w:lang w:val="en-US"/>
        </w:rPr>
        <w:t>neighborhood</w:t>
      </w:r>
    </w:p>
    <w:p w:rsidR="00F00EA5" w:rsidRDefault="00AE73E2" w:rsidP="003936A4">
      <w:pPr>
        <w:pStyle w:val="RoadefTexte"/>
        <w:spacing w:after="0" w:line="276" w:lineRule="auto"/>
        <w:ind w:firstLine="0"/>
        <w:outlineLvl w:val="0"/>
        <w:rPr>
          <w:rFonts w:asciiTheme="minorHAnsi" w:eastAsiaTheme="minorHAnsi" w:hAnsiTheme="minorHAnsi" w:cstheme="minorBidi"/>
          <w:i/>
          <w:lang w:val="en-US"/>
        </w:rPr>
      </w:pPr>
      <w:r w:rsidRPr="00B20A00">
        <w:rPr>
          <w:rFonts w:asciiTheme="minorHAnsi" w:eastAsiaTheme="minorHAnsi" w:hAnsiTheme="minorHAnsi" w:cstheme="minorBidi"/>
          <w:lang w:val="en-US"/>
        </w:rPr>
        <w:t xml:space="preserve">This </w:t>
      </w:r>
      <w:bookmarkStart w:id="183" w:name="OLE_LINK649"/>
      <w:bookmarkStart w:id="184" w:name="OLE_LINK650"/>
      <w:bookmarkStart w:id="185" w:name="OLE_LINK651"/>
      <w:r w:rsidR="00AD2310">
        <w:rPr>
          <w:rFonts w:asciiTheme="minorHAnsi" w:eastAsiaTheme="minorHAnsi" w:hAnsiTheme="minorHAnsi"/>
          <w:lang w:val="en-US"/>
        </w:rPr>
        <w:t>local move r</w:t>
      </w:r>
      <w:r w:rsidRPr="00B20A00">
        <w:rPr>
          <w:rFonts w:asciiTheme="minorHAnsi" w:eastAsiaTheme="minorHAnsi" w:hAnsiTheme="minorHAnsi" w:cstheme="minorBidi"/>
          <w:lang w:val="en-US"/>
        </w:rPr>
        <w:t xml:space="preserve">elocates a </w:t>
      </w:r>
      <w:r w:rsidR="00AD2310">
        <w:rPr>
          <w:rFonts w:asciiTheme="minorHAnsi" w:eastAsiaTheme="minorHAnsi" w:hAnsiTheme="minorHAnsi" w:cstheme="minorBidi"/>
          <w:lang w:val="en-US"/>
        </w:rPr>
        <w:t xml:space="preserve">transportation </w:t>
      </w:r>
      <w:r w:rsidR="003F3150" w:rsidRPr="00B20A00">
        <w:rPr>
          <w:rFonts w:asciiTheme="minorHAnsi" w:eastAsiaTheme="minorHAnsi" w:hAnsiTheme="minorHAnsi" w:cstheme="minorBidi"/>
          <w:lang w:val="en-US"/>
        </w:rPr>
        <w:t>request</w:t>
      </w:r>
      <w:r w:rsidR="00AD2310">
        <w:rPr>
          <w:rFonts w:asciiTheme="minorHAnsi" w:eastAsiaTheme="minorHAnsi" w:hAnsiTheme="minorHAnsi" w:cstheme="minorBidi"/>
          <w:lang w:val="en-US"/>
        </w:rPr>
        <w:t xml:space="preserve"> from its current position</w:t>
      </w:r>
      <w:r w:rsidRPr="00B20A00">
        <w:rPr>
          <w:rFonts w:asciiTheme="minorHAnsi" w:eastAsiaTheme="minorHAnsi" w:hAnsiTheme="minorHAnsi" w:cstheme="minorBidi"/>
          <w:lang w:val="en-US"/>
        </w:rPr>
        <w:t xml:space="preserve">. </w:t>
      </w:r>
      <w:bookmarkEnd w:id="183"/>
      <w:bookmarkEnd w:id="184"/>
      <w:bookmarkEnd w:id="185"/>
      <w:r w:rsidR="00C133DC" w:rsidRPr="00B20A00">
        <w:rPr>
          <w:rFonts w:asciiTheme="minorHAnsi" w:eastAsiaTheme="minorHAnsi" w:hAnsiTheme="minorHAnsi" w:cstheme="minorBidi"/>
          <w:lang w:val="en-US"/>
        </w:rPr>
        <w:t xml:space="preserve">For the PDP, </w:t>
      </w:r>
      <w:bookmarkStart w:id="186" w:name="OLE_LINK652"/>
      <w:bookmarkStart w:id="187" w:name="OLE_LINK653"/>
      <w:r w:rsidR="00C133DC" w:rsidRPr="00B20A00">
        <w:rPr>
          <w:rFonts w:asciiTheme="minorHAnsi" w:eastAsiaTheme="minorHAnsi" w:hAnsiTheme="minorHAnsi" w:cstheme="minorBidi"/>
          <w:lang w:val="en-US"/>
        </w:rPr>
        <w:t>the pickup and delivery nodes of any request are rem</w:t>
      </w:r>
      <w:r w:rsidR="00AD2310">
        <w:rPr>
          <w:rFonts w:asciiTheme="minorHAnsi" w:eastAsiaTheme="minorHAnsi" w:hAnsiTheme="minorHAnsi" w:cstheme="minorBidi"/>
          <w:lang w:val="en-US"/>
        </w:rPr>
        <w:t xml:space="preserve">oved from their current </w:t>
      </w:r>
      <w:r w:rsidR="00C133DC" w:rsidRPr="00B20A00">
        <w:rPr>
          <w:rFonts w:asciiTheme="minorHAnsi" w:eastAsiaTheme="minorHAnsi" w:hAnsiTheme="minorHAnsi" w:cstheme="minorBidi"/>
          <w:lang w:val="en-US"/>
        </w:rPr>
        <w:t>positions</w:t>
      </w:r>
      <w:bookmarkEnd w:id="186"/>
      <w:bookmarkEnd w:id="187"/>
      <w:r w:rsidR="00AD2310">
        <w:rPr>
          <w:rFonts w:asciiTheme="minorHAnsi" w:eastAsiaTheme="minorHAnsi" w:hAnsiTheme="minorHAnsi" w:cstheme="minorBidi"/>
          <w:lang w:val="en-US"/>
        </w:rPr>
        <w:t>, and t</w:t>
      </w:r>
      <w:r w:rsidR="00C133DC" w:rsidRPr="00B20A00">
        <w:rPr>
          <w:rFonts w:asciiTheme="minorHAnsi" w:eastAsiaTheme="minorHAnsi" w:hAnsiTheme="minorHAnsi" w:cstheme="minorBidi"/>
          <w:lang w:val="en-US"/>
        </w:rPr>
        <w:t xml:space="preserve">hey are re-inserted into any combination of available positions. </w:t>
      </w:r>
      <w:r w:rsidR="00AD2310">
        <w:rPr>
          <w:rFonts w:asciiTheme="minorHAnsi" w:eastAsiaTheme="minorHAnsi" w:hAnsiTheme="minorHAnsi" w:cstheme="minorBidi"/>
          <w:lang w:val="en-US"/>
        </w:rPr>
        <w:t>Similarly, f</w:t>
      </w:r>
      <w:r w:rsidR="00C133DC" w:rsidRPr="00B20A00">
        <w:rPr>
          <w:rFonts w:asciiTheme="minorHAnsi" w:eastAsiaTheme="minorHAnsi" w:hAnsiTheme="minorHAnsi" w:cstheme="minorBidi"/>
          <w:lang w:val="en-US"/>
        </w:rPr>
        <w:t xml:space="preserve">or the VRPCD any </w:t>
      </w:r>
      <w:r w:rsidR="00AD2310">
        <w:rPr>
          <w:rFonts w:asciiTheme="minorHAnsi" w:eastAsiaTheme="minorHAnsi" w:hAnsiTheme="minorHAnsi" w:cstheme="minorBidi"/>
          <w:lang w:val="en-US"/>
        </w:rPr>
        <w:t>supplier</w:t>
      </w:r>
      <w:r w:rsidR="00C133DC" w:rsidRPr="00B20A00">
        <w:rPr>
          <w:rFonts w:asciiTheme="minorHAnsi" w:eastAsiaTheme="minorHAnsi" w:hAnsiTheme="minorHAnsi" w:cstheme="minorBidi"/>
          <w:lang w:val="en-US"/>
        </w:rPr>
        <w:t xml:space="preserve"> </w:t>
      </w:r>
      <w:r w:rsidR="00AD2310">
        <w:rPr>
          <w:rFonts w:asciiTheme="minorHAnsi" w:eastAsiaTheme="minorHAnsi" w:hAnsiTheme="minorHAnsi" w:cstheme="minorBidi"/>
          <w:lang w:val="en-US"/>
        </w:rPr>
        <w:t xml:space="preserve">(or customer) </w:t>
      </w:r>
      <w:r w:rsidR="00C133DC" w:rsidRPr="00B20A00">
        <w:rPr>
          <w:rFonts w:asciiTheme="minorHAnsi" w:eastAsiaTheme="minorHAnsi" w:hAnsiTheme="minorHAnsi" w:cstheme="minorBidi"/>
          <w:lang w:val="en-US"/>
        </w:rPr>
        <w:t>node</w:t>
      </w:r>
      <w:r w:rsidR="00AD2310">
        <w:rPr>
          <w:rFonts w:asciiTheme="minorHAnsi" w:eastAsiaTheme="minorHAnsi" w:hAnsiTheme="minorHAnsi" w:cstheme="minorBidi"/>
          <w:lang w:val="en-US"/>
        </w:rPr>
        <w:t xml:space="preserve"> may be removed</w:t>
      </w:r>
      <w:r w:rsidR="00C133DC" w:rsidRPr="00B20A00">
        <w:rPr>
          <w:rFonts w:asciiTheme="minorHAnsi" w:eastAsiaTheme="minorHAnsi" w:hAnsiTheme="minorHAnsi" w:cstheme="minorBidi"/>
          <w:lang w:val="en-US"/>
        </w:rPr>
        <w:t xml:space="preserve"> from the current </w:t>
      </w:r>
      <w:bookmarkStart w:id="188" w:name="OLE_LINK195"/>
      <w:bookmarkStart w:id="189" w:name="OLE_LINK198"/>
      <w:bookmarkStart w:id="190" w:name="OLE_LINK201"/>
      <w:r w:rsidR="00AD2310">
        <w:rPr>
          <w:rFonts w:asciiTheme="minorHAnsi" w:eastAsiaTheme="minorHAnsi" w:hAnsiTheme="minorHAnsi" w:cstheme="minorBidi"/>
          <w:lang w:val="en-US"/>
        </w:rPr>
        <w:t xml:space="preserve">pickup (or </w:t>
      </w:r>
      <w:r w:rsidR="00583ABE" w:rsidRPr="00B20A00">
        <w:rPr>
          <w:rFonts w:asciiTheme="minorHAnsi" w:eastAsiaTheme="minorHAnsi" w:hAnsiTheme="minorHAnsi" w:cstheme="minorBidi"/>
          <w:lang w:val="en-US"/>
        </w:rPr>
        <w:t>delivery</w:t>
      </w:r>
      <w:r w:rsidR="00AD2310">
        <w:rPr>
          <w:rFonts w:asciiTheme="minorHAnsi" w:eastAsiaTheme="minorHAnsi" w:hAnsiTheme="minorHAnsi" w:cstheme="minorBidi"/>
          <w:lang w:val="en-US"/>
        </w:rPr>
        <w:t>)</w:t>
      </w:r>
      <w:r w:rsidR="00583ABE" w:rsidRPr="00B20A00">
        <w:rPr>
          <w:rFonts w:asciiTheme="minorHAnsi" w:eastAsiaTheme="minorHAnsi" w:hAnsiTheme="minorHAnsi" w:cstheme="minorBidi"/>
          <w:lang w:val="en-US"/>
        </w:rPr>
        <w:t xml:space="preserve"> route</w:t>
      </w:r>
      <w:bookmarkEnd w:id="188"/>
      <w:bookmarkEnd w:id="189"/>
      <w:bookmarkEnd w:id="190"/>
      <w:r w:rsidR="00AD2310">
        <w:rPr>
          <w:rFonts w:asciiTheme="minorHAnsi" w:eastAsiaTheme="minorHAnsi" w:hAnsiTheme="minorHAnsi" w:cstheme="minorBidi"/>
          <w:lang w:val="en-US"/>
        </w:rPr>
        <w:t>,</w:t>
      </w:r>
      <w:r w:rsidR="00A66341" w:rsidRPr="00B20A00">
        <w:rPr>
          <w:rFonts w:asciiTheme="minorHAnsi" w:eastAsiaTheme="minorHAnsi" w:hAnsiTheme="minorHAnsi" w:cstheme="minorBidi"/>
          <w:lang w:val="en-US"/>
        </w:rPr>
        <w:t xml:space="preserve"> </w:t>
      </w:r>
      <w:r w:rsidR="00C133DC" w:rsidRPr="00B20A00">
        <w:rPr>
          <w:rFonts w:asciiTheme="minorHAnsi" w:eastAsiaTheme="minorHAnsi" w:hAnsiTheme="minorHAnsi" w:cstheme="minorBidi"/>
          <w:lang w:val="en-US"/>
        </w:rPr>
        <w:t xml:space="preserve">and </w:t>
      </w:r>
      <w:r w:rsidR="00AD2310">
        <w:rPr>
          <w:rFonts w:asciiTheme="minorHAnsi" w:eastAsiaTheme="minorHAnsi" w:hAnsiTheme="minorHAnsi" w:cstheme="minorBidi"/>
          <w:lang w:val="en-US"/>
        </w:rPr>
        <w:t xml:space="preserve">can </w:t>
      </w:r>
      <w:r w:rsidR="00583ABE" w:rsidRPr="00B20A00">
        <w:rPr>
          <w:rFonts w:asciiTheme="minorHAnsi" w:eastAsiaTheme="minorHAnsi" w:hAnsiTheme="minorHAnsi" w:cstheme="minorBidi"/>
          <w:lang w:val="en-US"/>
        </w:rPr>
        <w:t xml:space="preserve">be </w:t>
      </w:r>
      <w:r w:rsidR="00C133DC" w:rsidRPr="00B20A00">
        <w:rPr>
          <w:rFonts w:asciiTheme="minorHAnsi" w:eastAsiaTheme="minorHAnsi" w:hAnsiTheme="minorHAnsi" w:cstheme="minorBidi"/>
          <w:lang w:val="en-US"/>
        </w:rPr>
        <w:t>reinserted into any feasible available position</w:t>
      </w:r>
      <w:r w:rsidR="00AD2310">
        <w:rPr>
          <w:rFonts w:asciiTheme="minorHAnsi" w:eastAsiaTheme="minorHAnsi" w:hAnsiTheme="minorHAnsi" w:cstheme="minorBidi"/>
          <w:lang w:val="en-US"/>
        </w:rPr>
        <w:t xml:space="preserve"> of another pickup (or </w:t>
      </w:r>
      <w:r w:rsidR="00583ABE" w:rsidRPr="00B20A00">
        <w:rPr>
          <w:rFonts w:asciiTheme="minorHAnsi" w:eastAsiaTheme="minorHAnsi" w:hAnsiTheme="minorHAnsi" w:cstheme="minorBidi"/>
          <w:lang w:val="en-US"/>
        </w:rPr>
        <w:t>delivery</w:t>
      </w:r>
      <w:r w:rsidR="00AD2310">
        <w:rPr>
          <w:rFonts w:asciiTheme="minorHAnsi" w:eastAsiaTheme="minorHAnsi" w:hAnsiTheme="minorHAnsi" w:cstheme="minorBidi"/>
          <w:lang w:val="en-US"/>
        </w:rPr>
        <w:t>)</w:t>
      </w:r>
      <w:r w:rsidR="00583ABE" w:rsidRPr="00B20A00">
        <w:rPr>
          <w:rFonts w:asciiTheme="minorHAnsi" w:eastAsiaTheme="minorHAnsi" w:hAnsiTheme="minorHAnsi" w:cstheme="minorBidi"/>
          <w:lang w:val="en-US"/>
        </w:rPr>
        <w:t xml:space="preserve"> route</w:t>
      </w:r>
      <w:r w:rsidR="00C133DC" w:rsidRPr="00B20A00">
        <w:rPr>
          <w:rFonts w:asciiTheme="minorHAnsi" w:eastAsiaTheme="minorHAnsi" w:hAnsiTheme="minorHAnsi" w:cstheme="minorBidi"/>
          <w:lang w:val="en-US"/>
        </w:rPr>
        <w:t xml:space="preserve">. </w:t>
      </w:r>
      <w:r w:rsidR="00AD2310">
        <w:rPr>
          <w:rFonts w:asciiTheme="minorHAnsi" w:eastAsiaTheme="minorHAnsi" w:hAnsiTheme="minorHAnsi" w:cstheme="minorBidi"/>
          <w:lang w:val="en-US"/>
        </w:rPr>
        <w:t>Note that both intra- and inter-route relocation moves</w:t>
      </w:r>
      <w:r w:rsidR="00AD2310" w:rsidRPr="00B20A00">
        <w:rPr>
          <w:rFonts w:asciiTheme="minorHAnsi" w:eastAsiaTheme="minorHAnsi" w:hAnsiTheme="minorHAnsi" w:cstheme="minorBidi"/>
          <w:lang w:val="en-US"/>
        </w:rPr>
        <w:t xml:space="preserve"> </w:t>
      </w:r>
      <w:r w:rsidR="00AD2310">
        <w:rPr>
          <w:rFonts w:asciiTheme="minorHAnsi" w:eastAsiaTheme="minorHAnsi" w:hAnsiTheme="minorHAnsi" w:cstheme="minorBidi"/>
          <w:lang w:val="en-US"/>
        </w:rPr>
        <w:t>of</w:t>
      </w:r>
      <w:r w:rsidR="00AD2310" w:rsidRPr="00B20A00">
        <w:rPr>
          <w:rFonts w:asciiTheme="minorHAnsi" w:eastAsiaTheme="minorHAnsi" w:hAnsiTheme="minorHAnsi" w:cstheme="minorBidi"/>
          <w:lang w:val="en-US"/>
        </w:rPr>
        <w:t xml:space="preserve"> </w:t>
      </w:r>
      <w:r w:rsidR="00AD2310">
        <w:rPr>
          <w:rFonts w:asciiTheme="minorHAnsi" w:eastAsiaTheme="minorHAnsi" w:hAnsiTheme="minorHAnsi" w:cstheme="minorBidi"/>
          <w:lang w:val="en-US"/>
        </w:rPr>
        <w:t xml:space="preserve">nodes or </w:t>
      </w:r>
      <w:r w:rsidR="00AD2310" w:rsidRPr="00B20A00">
        <w:rPr>
          <w:rFonts w:asciiTheme="minorHAnsi" w:eastAsiaTheme="minorHAnsi" w:hAnsiTheme="minorHAnsi" w:cstheme="minorBidi"/>
          <w:lang w:val="en-US"/>
        </w:rPr>
        <w:t xml:space="preserve">pickup and delivery pairs are </w:t>
      </w:r>
      <w:r w:rsidR="00AD2310">
        <w:rPr>
          <w:rFonts w:asciiTheme="minorHAnsi" w:eastAsiaTheme="minorHAnsi" w:hAnsiTheme="minorHAnsi" w:cstheme="minorBidi"/>
          <w:lang w:val="en-US"/>
        </w:rPr>
        <w:t>considered</w:t>
      </w:r>
      <w:r w:rsidR="00AD2310" w:rsidRPr="00B20A00">
        <w:rPr>
          <w:rFonts w:asciiTheme="minorHAnsi" w:eastAsiaTheme="minorHAnsi" w:hAnsiTheme="minorHAnsi" w:cstheme="minorBidi"/>
          <w:lang w:val="en-US"/>
        </w:rPr>
        <w:t>.</w:t>
      </w:r>
      <w:bookmarkStart w:id="191" w:name="OLE_LINK643"/>
      <w:bookmarkStart w:id="192" w:name="OLE_LINK644"/>
      <w:bookmarkStart w:id="193" w:name="OLE_LINK645"/>
    </w:p>
    <w:p w:rsidR="003936A4" w:rsidRDefault="003936A4" w:rsidP="003936A4">
      <w:pPr>
        <w:pStyle w:val="RoadefTexte"/>
        <w:spacing w:after="0" w:line="276" w:lineRule="auto"/>
        <w:ind w:firstLine="0"/>
        <w:outlineLvl w:val="0"/>
        <w:rPr>
          <w:rFonts w:asciiTheme="minorHAnsi" w:eastAsiaTheme="minorHAnsi" w:hAnsiTheme="minorHAnsi" w:cstheme="minorBidi"/>
          <w:i/>
          <w:lang w:val="en-US"/>
        </w:rPr>
      </w:pPr>
    </w:p>
    <w:p w:rsidR="00F00EA5" w:rsidRDefault="00EB50D6" w:rsidP="00F00EA5">
      <w:pPr>
        <w:pStyle w:val="RoadefTexte"/>
        <w:spacing w:after="0" w:line="276" w:lineRule="auto"/>
        <w:ind w:firstLine="0"/>
        <w:outlineLvl w:val="0"/>
        <w:rPr>
          <w:rFonts w:asciiTheme="minorHAnsi" w:eastAsiaTheme="minorHAnsi" w:hAnsiTheme="minorHAnsi" w:cstheme="minorBidi"/>
          <w:i/>
          <w:lang w:val="en-US"/>
        </w:rPr>
      </w:pPr>
      <w:r>
        <w:rPr>
          <w:rFonts w:asciiTheme="minorHAnsi" w:eastAsiaTheme="minorHAnsi" w:hAnsiTheme="minorHAnsi" w:cstheme="minorBidi"/>
          <w:i/>
          <w:lang w:val="en-US"/>
        </w:rPr>
        <w:t>Exchange</w:t>
      </w:r>
      <w:r w:rsidR="00C824CB" w:rsidRPr="00531714">
        <w:rPr>
          <w:rFonts w:asciiTheme="minorHAnsi" w:eastAsiaTheme="minorHAnsi" w:hAnsiTheme="minorHAnsi" w:cstheme="minorBidi"/>
          <w:i/>
          <w:lang w:val="en-US"/>
        </w:rPr>
        <w:t xml:space="preserve"> </w:t>
      </w:r>
      <w:bookmarkEnd w:id="191"/>
      <w:bookmarkEnd w:id="192"/>
      <w:bookmarkEnd w:id="193"/>
      <w:r w:rsidR="00D91A0A">
        <w:rPr>
          <w:rFonts w:asciiTheme="minorHAnsi" w:eastAsiaTheme="minorHAnsi" w:hAnsiTheme="minorHAnsi" w:cstheme="minorBidi"/>
          <w:i/>
          <w:lang w:val="en-US"/>
        </w:rPr>
        <w:t>neighborhood</w:t>
      </w:r>
    </w:p>
    <w:p w:rsidR="00B20A00" w:rsidRPr="00F00EA5" w:rsidRDefault="00AE73E2" w:rsidP="00F00EA5">
      <w:pPr>
        <w:pStyle w:val="RoadefTexte"/>
        <w:spacing w:after="0" w:line="276" w:lineRule="auto"/>
        <w:ind w:firstLine="0"/>
        <w:outlineLvl w:val="0"/>
        <w:rPr>
          <w:rFonts w:asciiTheme="minorHAnsi" w:eastAsiaTheme="minorHAnsi" w:hAnsiTheme="minorHAnsi" w:cstheme="minorBidi"/>
          <w:i/>
          <w:lang w:val="en-US"/>
        </w:rPr>
      </w:pPr>
      <w:r w:rsidRPr="00AE73E2">
        <w:rPr>
          <w:rFonts w:asciiTheme="minorHAnsi" w:hAnsiTheme="minorHAnsi"/>
        </w:rPr>
        <w:t xml:space="preserve">This </w:t>
      </w:r>
      <w:bookmarkStart w:id="194" w:name="OLE_LINK654"/>
      <w:bookmarkStart w:id="195" w:name="OLE_LINK655"/>
      <w:bookmarkStart w:id="196" w:name="OLE_LINK656"/>
      <w:r w:rsidR="00AD2310">
        <w:rPr>
          <w:rFonts w:asciiTheme="minorHAnsi" w:hAnsiTheme="minorHAnsi"/>
        </w:rPr>
        <w:t>local move</w:t>
      </w:r>
      <w:r w:rsidR="00D91A0A">
        <w:rPr>
          <w:rFonts w:asciiTheme="minorHAnsi" w:hAnsiTheme="minorHAnsi"/>
        </w:rPr>
        <w:t xml:space="preserve"> </w:t>
      </w:r>
      <w:r>
        <w:rPr>
          <w:rFonts w:asciiTheme="minorHAnsi" w:hAnsiTheme="minorHAnsi"/>
        </w:rPr>
        <w:t>exchanges</w:t>
      </w:r>
      <w:r w:rsidR="00A66341">
        <w:rPr>
          <w:rFonts w:asciiTheme="minorHAnsi" w:hAnsiTheme="minorHAnsi"/>
        </w:rPr>
        <w:t xml:space="preserve"> </w:t>
      </w:r>
      <w:r>
        <w:rPr>
          <w:rFonts w:asciiTheme="minorHAnsi" w:hAnsiTheme="minorHAnsi"/>
        </w:rPr>
        <w:t xml:space="preserve">two </w:t>
      </w:r>
      <w:r w:rsidR="00AD2310">
        <w:rPr>
          <w:rFonts w:asciiTheme="minorHAnsi" w:hAnsiTheme="minorHAnsi"/>
        </w:rPr>
        <w:t xml:space="preserve">transportation </w:t>
      </w:r>
      <w:r w:rsidR="003F3150" w:rsidRPr="003F3150">
        <w:rPr>
          <w:rFonts w:asciiTheme="minorHAnsi" w:hAnsiTheme="minorHAnsi"/>
        </w:rPr>
        <w:t>requests</w:t>
      </w:r>
      <w:r w:rsidR="00A66341">
        <w:rPr>
          <w:rFonts w:asciiTheme="minorHAnsi" w:hAnsiTheme="minorHAnsi"/>
        </w:rPr>
        <w:t xml:space="preserve"> </w:t>
      </w:r>
      <w:r w:rsidR="00EB50D6">
        <w:rPr>
          <w:rFonts w:asciiTheme="minorHAnsi" w:hAnsiTheme="minorHAnsi"/>
        </w:rPr>
        <w:t xml:space="preserve">on the same or different </w:t>
      </w:r>
      <w:r w:rsidRPr="00AE73E2">
        <w:rPr>
          <w:rFonts w:asciiTheme="minorHAnsi" w:hAnsiTheme="minorHAnsi"/>
        </w:rPr>
        <w:t>route</w:t>
      </w:r>
      <w:r>
        <w:rPr>
          <w:rFonts w:asciiTheme="minorHAnsi" w:hAnsiTheme="minorHAnsi"/>
        </w:rPr>
        <w:t>s</w:t>
      </w:r>
      <w:r w:rsidRPr="00AE73E2">
        <w:rPr>
          <w:rFonts w:asciiTheme="minorHAnsi" w:hAnsiTheme="minorHAnsi"/>
        </w:rPr>
        <w:t xml:space="preserve">. </w:t>
      </w:r>
      <w:bookmarkEnd w:id="194"/>
      <w:bookmarkEnd w:id="195"/>
      <w:bookmarkEnd w:id="196"/>
      <w:r w:rsidR="00C133DC" w:rsidRPr="00D83668">
        <w:rPr>
          <w:rFonts w:asciiTheme="minorHAnsi" w:hAnsiTheme="minorHAnsi"/>
        </w:rPr>
        <w:t xml:space="preserve">For the PDP </w:t>
      </w:r>
      <w:r w:rsidR="00BE4714">
        <w:rPr>
          <w:rFonts w:asciiTheme="minorHAnsi" w:hAnsiTheme="minorHAnsi"/>
        </w:rPr>
        <w:t xml:space="preserve">any two </w:t>
      </w:r>
      <w:r w:rsidR="00C133DC" w:rsidRPr="00D83668">
        <w:rPr>
          <w:rFonts w:asciiTheme="minorHAnsi" w:hAnsiTheme="minorHAnsi"/>
        </w:rPr>
        <w:t xml:space="preserve">pairs of pickup and delivery requests that are served by </w:t>
      </w:r>
      <w:r w:rsidR="00EB50D6">
        <w:rPr>
          <w:rFonts w:asciiTheme="minorHAnsi" w:hAnsiTheme="minorHAnsi"/>
        </w:rPr>
        <w:t xml:space="preserve">the same or </w:t>
      </w:r>
      <w:r w:rsidR="00C133DC" w:rsidRPr="00D83668">
        <w:rPr>
          <w:rFonts w:asciiTheme="minorHAnsi" w:hAnsiTheme="minorHAnsi"/>
        </w:rPr>
        <w:t>two different r</w:t>
      </w:r>
      <w:r w:rsidR="00AD2310">
        <w:rPr>
          <w:rFonts w:asciiTheme="minorHAnsi" w:hAnsiTheme="minorHAnsi"/>
        </w:rPr>
        <w:t>outes are selected and removed</w:t>
      </w:r>
      <w:r w:rsidR="00C133DC" w:rsidRPr="00D83668">
        <w:rPr>
          <w:rFonts w:asciiTheme="minorHAnsi" w:hAnsiTheme="minorHAnsi"/>
        </w:rPr>
        <w:t xml:space="preserve"> from their current positions. The pickup and delivery nodes of the first route can be inserted into any </w:t>
      </w:r>
      <w:r w:rsidR="00933C29">
        <w:rPr>
          <w:rFonts w:asciiTheme="minorHAnsi" w:hAnsiTheme="minorHAnsi"/>
        </w:rPr>
        <w:t xml:space="preserve">feasible </w:t>
      </w:r>
      <w:r w:rsidR="00C133DC" w:rsidRPr="00D83668">
        <w:rPr>
          <w:rFonts w:asciiTheme="minorHAnsi" w:hAnsiTheme="minorHAnsi"/>
        </w:rPr>
        <w:t>position of the second route,</w:t>
      </w:r>
      <w:r w:rsidR="00A62BF7">
        <w:rPr>
          <w:rFonts w:asciiTheme="minorHAnsi" w:hAnsiTheme="minorHAnsi"/>
        </w:rPr>
        <w:t xml:space="preserve"> while t</w:t>
      </w:r>
      <w:r w:rsidR="00A62BF7" w:rsidRPr="00D83668">
        <w:rPr>
          <w:rFonts w:asciiTheme="minorHAnsi" w:hAnsiTheme="minorHAnsi"/>
        </w:rPr>
        <w:t xml:space="preserve">he pickup and delivery nodes of the </w:t>
      </w:r>
      <w:r w:rsidR="00A62BF7">
        <w:rPr>
          <w:rFonts w:asciiTheme="minorHAnsi" w:hAnsiTheme="minorHAnsi"/>
        </w:rPr>
        <w:t>second</w:t>
      </w:r>
      <w:r w:rsidR="00A62BF7" w:rsidRPr="00D83668">
        <w:rPr>
          <w:rFonts w:asciiTheme="minorHAnsi" w:hAnsiTheme="minorHAnsi"/>
        </w:rPr>
        <w:t xml:space="preserve"> route can be inserted into any </w:t>
      </w:r>
      <w:r w:rsidR="00A62BF7">
        <w:rPr>
          <w:rFonts w:asciiTheme="minorHAnsi" w:hAnsiTheme="minorHAnsi"/>
        </w:rPr>
        <w:t xml:space="preserve">feasible </w:t>
      </w:r>
      <w:r w:rsidR="00A62BF7" w:rsidRPr="00D83668">
        <w:rPr>
          <w:rFonts w:asciiTheme="minorHAnsi" w:hAnsiTheme="minorHAnsi"/>
        </w:rPr>
        <w:t xml:space="preserve">position of the </w:t>
      </w:r>
      <w:r w:rsidR="00A62BF7">
        <w:rPr>
          <w:rFonts w:asciiTheme="minorHAnsi" w:hAnsiTheme="minorHAnsi"/>
        </w:rPr>
        <w:t>first</w:t>
      </w:r>
      <w:r w:rsidR="00A62BF7" w:rsidRPr="00D83668">
        <w:rPr>
          <w:rFonts w:asciiTheme="minorHAnsi" w:hAnsiTheme="minorHAnsi"/>
        </w:rPr>
        <w:t xml:space="preserve"> route</w:t>
      </w:r>
      <w:r w:rsidR="00C133DC" w:rsidRPr="00D83668">
        <w:rPr>
          <w:rFonts w:asciiTheme="minorHAnsi" w:hAnsiTheme="minorHAnsi"/>
        </w:rPr>
        <w:t>. For the VRPCD, we perform sing</w:t>
      </w:r>
      <w:r w:rsidR="00EB50D6">
        <w:rPr>
          <w:rFonts w:asciiTheme="minorHAnsi" w:hAnsiTheme="minorHAnsi"/>
        </w:rPr>
        <w:t>le node intra- and inter-route exchange</w:t>
      </w:r>
      <w:r w:rsidR="00C133DC" w:rsidRPr="00D83668">
        <w:rPr>
          <w:rFonts w:asciiTheme="minorHAnsi" w:hAnsiTheme="minorHAnsi"/>
        </w:rPr>
        <w:t>s</w:t>
      </w:r>
      <w:r w:rsidR="00EB50D6">
        <w:rPr>
          <w:rFonts w:asciiTheme="minorHAnsi" w:hAnsiTheme="minorHAnsi"/>
        </w:rPr>
        <w:t>,</w:t>
      </w:r>
      <w:r w:rsidR="00C133DC" w:rsidRPr="00D83668">
        <w:rPr>
          <w:rFonts w:asciiTheme="minorHAnsi" w:hAnsiTheme="minorHAnsi"/>
        </w:rPr>
        <w:t xml:space="preserve"> and </w:t>
      </w:r>
      <w:r w:rsidR="00EB50D6">
        <w:rPr>
          <w:rFonts w:asciiTheme="minorHAnsi" w:hAnsiTheme="minorHAnsi"/>
        </w:rPr>
        <w:t xml:space="preserve">similarly </w:t>
      </w:r>
      <w:r w:rsidR="00C133DC" w:rsidRPr="00D83668">
        <w:rPr>
          <w:rFonts w:asciiTheme="minorHAnsi" w:hAnsiTheme="minorHAnsi"/>
        </w:rPr>
        <w:t xml:space="preserve">we examine all </w:t>
      </w:r>
      <w:r w:rsidR="00933C29">
        <w:rPr>
          <w:rFonts w:asciiTheme="minorHAnsi" w:hAnsiTheme="minorHAnsi"/>
        </w:rPr>
        <w:t xml:space="preserve">feasible </w:t>
      </w:r>
      <w:r w:rsidR="00C133DC" w:rsidRPr="00D83668">
        <w:rPr>
          <w:rFonts w:asciiTheme="minorHAnsi" w:hAnsiTheme="minorHAnsi"/>
        </w:rPr>
        <w:t xml:space="preserve">insertion positions. </w:t>
      </w:r>
    </w:p>
    <w:p w:rsidR="00D778D1" w:rsidRPr="00D778D1" w:rsidRDefault="00D778D1" w:rsidP="00D778D1">
      <w:pPr>
        <w:pStyle w:val="Default"/>
        <w:spacing w:line="276" w:lineRule="auto"/>
        <w:jc w:val="both"/>
        <w:rPr>
          <w:rFonts w:asciiTheme="minorHAnsi" w:hAnsiTheme="minorHAnsi"/>
          <w:sz w:val="22"/>
          <w:szCs w:val="22"/>
        </w:rPr>
      </w:pPr>
    </w:p>
    <w:p w:rsidR="00D83668" w:rsidRPr="00531714" w:rsidRDefault="00C824CB" w:rsidP="00F00EA5">
      <w:pPr>
        <w:pStyle w:val="RoadefTexte"/>
        <w:spacing w:after="0" w:line="276" w:lineRule="auto"/>
        <w:ind w:firstLine="0"/>
        <w:outlineLvl w:val="0"/>
        <w:rPr>
          <w:rFonts w:asciiTheme="minorHAnsi" w:eastAsiaTheme="minorHAnsi" w:hAnsiTheme="minorHAnsi" w:cstheme="minorBidi"/>
          <w:i/>
          <w:lang w:val="en-US"/>
        </w:rPr>
      </w:pPr>
      <w:bookmarkStart w:id="197" w:name="OLE_LINK646"/>
      <w:bookmarkStart w:id="198" w:name="OLE_LINK647"/>
      <w:bookmarkStart w:id="199" w:name="OLE_LINK648"/>
      <w:r w:rsidRPr="00531714">
        <w:rPr>
          <w:rFonts w:asciiTheme="minorHAnsi" w:eastAsiaTheme="minorHAnsi" w:hAnsiTheme="minorHAnsi" w:cstheme="minorBidi"/>
          <w:i/>
          <w:lang w:val="en-US"/>
        </w:rPr>
        <w:t xml:space="preserve">2-opt </w:t>
      </w:r>
      <w:bookmarkEnd w:id="175"/>
      <w:bookmarkEnd w:id="176"/>
      <w:bookmarkEnd w:id="197"/>
      <w:bookmarkEnd w:id="198"/>
      <w:bookmarkEnd w:id="199"/>
      <w:r w:rsidR="00D91A0A">
        <w:rPr>
          <w:rFonts w:asciiTheme="minorHAnsi" w:eastAsiaTheme="minorHAnsi" w:hAnsiTheme="minorHAnsi" w:cstheme="minorBidi"/>
          <w:i/>
          <w:lang w:val="en-US"/>
        </w:rPr>
        <w:t>neighborhood</w:t>
      </w:r>
    </w:p>
    <w:p w:rsidR="00F00EA5" w:rsidRDefault="005F190F" w:rsidP="00F00EA5">
      <w:pPr>
        <w:pStyle w:val="RoadefTexte"/>
        <w:spacing w:after="0" w:line="276" w:lineRule="auto"/>
        <w:ind w:firstLine="0"/>
        <w:outlineLvl w:val="0"/>
        <w:rPr>
          <w:rFonts w:asciiTheme="minorHAnsi" w:hAnsiTheme="minorHAnsi"/>
          <w:lang w:val="en-US"/>
        </w:rPr>
      </w:pPr>
      <w:bookmarkStart w:id="200" w:name="OLE_LINK657"/>
      <w:bookmarkStart w:id="201" w:name="OLE_LINK658"/>
      <w:bookmarkStart w:id="202" w:name="OLE_LINK659"/>
      <w:r>
        <w:rPr>
          <w:rFonts w:asciiTheme="minorHAnsi" w:hAnsiTheme="minorHAnsi"/>
          <w:lang w:val="en-US"/>
        </w:rPr>
        <w:t xml:space="preserve">The </w:t>
      </w:r>
      <w:r w:rsidRPr="005F190F">
        <w:rPr>
          <w:rFonts w:asciiTheme="minorHAnsi" w:hAnsiTheme="minorHAnsi"/>
          <w:lang w:val="en-US"/>
        </w:rPr>
        <w:t>2-</w:t>
      </w:r>
      <w:proofErr w:type="gramStart"/>
      <w:r w:rsidRPr="005F190F">
        <w:rPr>
          <w:rFonts w:asciiTheme="minorHAnsi" w:hAnsiTheme="minorHAnsi"/>
          <w:lang w:val="en-US"/>
        </w:rPr>
        <w:t>opt</w:t>
      </w:r>
      <w:proofErr w:type="gramEnd"/>
      <w:r w:rsidRPr="005F190F">
        <w:rPr>
          <w:rFonts w:asciiTheme="minorHAnsi" w:hAnsiTheme="minorHAnsi"/>
          <w:lang w:val="en-US"/>
        </w:rPr>
        <w:t xml:space="preserve"> neighborhood</w:t>
      </w:r>
      <w:r>
        <w:rPr>
          <w:rFonts w:asciiTheme="minorHAnsi" w:hAnsiTheme="minorHAnsi"/>
          <w:lang w:val="en-US"/>
        </w:rPr>
        <w:t xml:space="preserve"> removes two edges from </w:t>
      </w:r>
      <w:r w:rsidR="00EB50D6">
        <w:rPr>
          <w:rFonts w:asciiTheme="minorHAnsi" w:hAnsiTheme="minorHAnsi"/>
          <w:lang w:val="en-US"/>
        </w:rPr>
        <w:t xml:space="preserve">the same route or </w:t>
      </w:r>
      <w:r>
        <w:rPr>
          <w:rFonts w:asciiTheme="minorHAnsi" w:hAnsiTheme="minorHAnsi"/>
          <w:lang w:val="en-US"/>
        </w:rPr>
        <w:t>two different routes</w:t>
      </w:r>
      <w:r w:rsidR="00EB50D6">
        <w:rPr>
          <w:rFonts w:asciiTheme="minorHAnsi" w:hAnsiTheme="minorHAnsi"/>
          <w:lang w:val="en-US"/>
        </w:rPr>
        <w:t>,</w:t>
      </w:r>
      <w:r w:rsidR="00DD5052">
        <w:rPr>
          <w:rFonts w:asciiTheme="minorHAnsi" w:hAnsiTheme="minorHAnsi"/>
          <w:lang w:val="en-US"/>
        </w:rPr>
        <w:t xml:space="preserve"> and the remaining segments are reconnected so that two different routes are obtained.</w:t>
      </w:r>
      <w:bookmarkEnd w:id="200"/>
      <w:bookmarkEnd w:id="201"/>
      <w:bookmarkEnd w:id="202"/>
      <w:r w:rsidR="00DD5052">
        <w:rPr>
          <w:rFonts w:asciiTheme="minorHAnsi" w:eastAsiaTheme="minorHAnsi" w:hAnsiTheme="minorHAnsi" w:cstheme="minorBidi"/>
          <w:i/>
          <w:lang w:val="en-US"/>
        </w:rPr>
        <w:t xml:space="preserve"> </w:t>
      </w:r>
      <w:r w:rsidR="00EB50D6" w:rsidRPr="00C677E1">
        <w:rPr>
          <w:rFonts w:asciiTheme="minorHAnsi" w:hAnsiTheme="minorHAnsi"/>
          <w:lang w:val="en-US"/>
        </w:rPr>
        <w:t xml:space="preserve">For the PDP, </w:t>
      </w:r>
      <w:r w:rsidR="00EB50D6">
        <w:rPr>
          <w:rFonts w:asciiTheme="minorHAnsi" w:hAnsiTheme="minorHAnsi"/>
          <w:lang w:val="en-US"/>
        </w:rPr>
        <w:t>we need to ensure</w:t>
      </w:r>
      <w:r w:rsidR="001A72E2">
        <w:rPr>
          <w:rFonts w:asciiTheme="minorHAnsi" w:hAnsiTheme="minorHAnsi"/>
          <w:lang w:val="en-US"/>
        </w:rPr>
        <w:t xml:space="preserve"> that both the pickup and delivery nodes of all transportation requests are contained in each route</w:t>
      </w:r>
      <w:r w:rsidR="00DD5052">
        <w:rPr>
          <w:rFonts w:asciiTheme="minorHAnsi" w:hAnsiTheme="minorHAnsi"/>
          <w:lang w:val="en-US"/>
        </w:rPr>
        <w:t xml:space="preserve"> segment</w:t>
      </w:r>
      <w:r w:rsidR="001A72E2">
        <w:rPr>
          <w:rFonts w:asciiTheme="minorHAnsi" w:hAnsiTheme="minorHAnsi"/>
          <w:lang w:val="en-US"/>
        </w:rPr>
        <w:t xml:space="preserve">. </w:t>
      </w:r>
      <w:r w:rsidR="00EB50D6">
        <w:rPr>
          <w:rFonts w:asciiTheme="minorHAnsi" w:hAnsiTheme="minorHAnsi"/>
          <w:lang w:val="en-US"/>
        </w:rPr>
        <w:t xml:space="preserve">For this reason, </w:t>
      </w:r>
      <w:r w:rsidR="00EB50D6" w:rsidRPr="00C677E1">
        <w:rPr>
          <w:rFonts w:asciiTheme="minorHAnsi" w:hAnsiTheme="minorHAnsi"/>
          <w:lang w:val="en-US"/>
        </w:rPr>
        <w:t>we employ 2-opt moves only</w:t>
      </w:r>
      <w:r w:rsidR="00EB50D6">
        <w:rPr>
          <w:rFonts w:asciiTheme="minorHAnsi" w:hAnsiTheme="minorHAnsi"/>
          <w:lang w:val="en-US"/>
        </w:rPr>
        <w:t xml:space="preserve"> </w:t>
      </w:r>
      <w:r w:rsidR="00EB50D6" w:rsidRPr="00C677E1">
        <w:rPr>
          <w:rFonts w:asciiTheme="minorHAnsi" w:hAnsiTheme="minorHAnsi"/>
          <w:lang w:val="en-US"/>
        </w:rPr>
        <w:t xml:space="preserve">between route pairs. </w:t>
      </w:r>
      <w:r w:rsidR="00C133DC" w:rsidRPr="00C677E1">
        <w:rPr>
          <w:rFonts w:asciiTheme="minorHAnsi" w:hAnsiTheme="minorHAnsi"/>
          <w:lang w:val="en-US"/>
        </w:rPr>
        <w:t xml:space="preserve">For the VRPCD, we consider both intra- and inter-route 2-opt </w:t>
      </w:r>
      <w:r w:rsidR="00EB50D6">
        <w:rPr>
          <w:rFonts w:asciiTheme="minorHAnsi" w:hAnsiTheme="minorHAnsi"/>
          <w:lang w:val="en-US"/>
        </w:rPr>
        <w:t>local moves.</w:t>
      </w:r>
    </w:p>
    <w:p w:rsidR="00F00EA5" w:rsidRDefault="00F00EA5" w:rsidP="00F00EA5">
      <w:pPr>
        <w:pStyle w:val="RoadefTexte"/>
        <w:spacing w:after="0" w:line="276" w:lineRule="auto"/>
        <w:ind w:firstLine="0"/>
        <w:outlineLvl w:val="0"/>
        <w:rPr>
          <w:rFonts w:asciiTheme="minorHAnsi" w:hAnsiTheme="minorHAnsi"/>
          <w:lang w:val="en-US"/>
        </w:rPr>
      </w:pPr>
    </w:p>
    <w:p w:rsidR="003F2893" w:rsidRDefault="003F2893" w:rsidP="003F2893">
      <w:pPr>
        <w:autoSpaceDE w:val="0"/>
        <w:autoSpaceDN w:val="0"/>
        <w:adjustRightInd w:val="0"/>
        <w:spacing w:after="0"/>
        <w:ind w:firstLine="720"/>
        <w:jc w:val="both"/>
      </w:pPr>
      <w:r>
        <w:t>Compared to the basic Tabu Search scheme, in the proposed implementation</w:t>
      </w:r>
      <w:r w:rsidR="00E25033">
        <w:t>,</w:t>
      </w:r>
      <w:r>
        <w:t xml:space="preserve"> the criteria for restricting and/or accepting a neighboring solution is based both on the local move attributes and the corresponding solution costs. This is controlled by monitoring the static move descriptors </w:t>
      </w:r>
      <w:proofErr w:type="gramStart"/>
      <w:r>
        <w:t>at each iteration</w:t>
      </w:r>
      <w:proofErr w:type="gramEnd"/>
      <w:r>
        <w:t xml:space="preserve"> described as follows. </w:t>
      </w:r>
    </w:p>
    <w:p w:rsidR="003F2893" w:rsidRPr="00F00EA5" w:rsidRDefault="003F2893" w:rsidP="00F00EA5">
      <w:pPr>
        <w:pStyle w:val="RoadefTexte"/>
        <w:spacing w:after="0" w:line="276" w:lineRule="auto"/>
        <w:ind w:firstLine="0"/>
        <w:outlineLvl w:val="0"/>
        <w:rPr>
          <w:rFonts w:asciiTheme="minorHAnsi" w:hAnsiTheme="minorHAnsi"/>
          <w:lang w:val="en-US"/>
        </w:rPr>
      </w:pPr>
    </w:p>
    <w:p w:rsidR="00625F68" w:rsidRPr="00531714" w:rsidRDefault="00C133DC" w:rsidP="00F00EA5">
      <w:pPr>
        <w:pStyle w:val="RoadefTexte"/>
        <w:spacing w:after="0" w:line="276" w:lineRule="auto"/>
        <w:ind w:firstLine="0"/>
        <w:outlineLvl w:val="0"/>
        <w:rPr>
          <w:rFonts w:asciiTheme="minorHAnsi" w:hAnsiTheme="minorHAnsi"/>
          <w:i/>
          <w:lang w:val="en-US"/>
        </w:rPr>
      </w:pPr>
      <w:proofErr w:type="spellStart"/>
      <w:r w:rsidRPr="00531714">
        <w:rPr>
          <w:rFonts w:asciiTheme="minorHAnsi" w:hAnsiTheme="minorHAnsi"/>
          <w:i/>
        </w:rPr>
        <w:t>SMD</w:t>
      </w:r>
      <w:r w:rsidR="00625F68" w:rsidRPr="00531714">
        <w:rPr>
          <w:rFonts w:asciiTheme="minorHAnsi" w:hAnsiTheme="minorHAnsi"/>
          <w:i/>
        </w:rPr>
        <w:t>s</w:t>
      </w:r>
      <w:proofErr w:type="spellEnd"/>
    </w:p>
    <w:p w:rsidR="00C133DC" w:rsidRPr="00615350" w:rsidRDefault="00D83668" w:rsidP="00F00EA5">
      <w:pPr>
        <w:pStyle w:val="RoadefTexte"/>
        <w:spacing w:after="0" w:line="276" w:lineRule="auto"/>
        <w:ind w:firstLine="0"/>
        <w:rPr>
          <w:rFonts w:asciiTheme="minorHAnsi" w:hAnsiTheme="minorHAnsi"/>
          <w:b/>
          <w:lang w:val="en-US"/>
        </w:rPr>
      </w:pPr>
      <w:r w:rsidRPr="00615350">
        <w:rPr>
          <w:rFonts w:asciiTheme="minorHAnsi" w:hAnsiTheme="minorHAnsi"/>
          <w:lang w:val="en-US"/>
        </w:rPr>
        <w:t>T</w:t>
      </w:r>
      <w:r w:rsidR="00C133DC" w:rsidRPr="00615350">
        <w:rPr>
          <w:rFonts w:asciiTheme="minorHAnsi" w:hAnsiTheme="minorHAnsi"/>
          <w:lang w:val="en-US"/>
        </w:rPr>
        <w:t xml:space="preserve">he </w:t>
      </w:r>
      <w:r w:rsidR="00EB50D6">
        <w:rPr>
          <w:rFonts w:asciiTheme="minorHAnsi" w:hAnsiTheme="minorHAnsi"/>
          <w:lang w:val="en-US"/>
        </w:rPr>
        <w:t xml:space="preserve">local </w:t>
      </w:r>
      <w:r w:rsidR="00C133DC" w:rsidRPr="00615350">
        <w:rPr>
          <w:rFonts w:asciiTheme="minorHAnsi" w:hAnsiTheme="minorHAnsi"/>
          <w:lang w:val="en-US"/>
        </w:rPr>
        <w:t xml:space="preserve">moves defined by </w:t>
      </w:r>
      <w:r w:rsidR="00EB50D6">
        <w:rPr>
          <w:rFonts w:asciiTheme="minorHAnsi" w:hAnsiTheme="minorHAnsi"/>
          <w:lang w:val="en-US"/>
        </w:rPr>
        <w:t>each</w:t>
      </w:r>
      <w:r w:rsidR="00C133DC" w:rsidRPr="00615350">
        <w:rPr>
          <w:rFonts w:asciiTheme="minorHAnsi" w:hAnsiTheme="minorHAnsi"/>
          <w:lang w:val="en-US"/>
        </w:rPr>
        <w:t xml:space="preserve"> </w:t>
      </w:r>
      <w:r w:rsidR="00EB50D6">
        <w:rPr>
          <w:rFonts w:asciiTheme="minorHAnsi" w:hAnsiTheme="minorHAnsi"/>
          <w:lang w:val="en-US"/>
        </w:rPr>
        <w:t>neighborhood structure</w:t>
      </w:r>
      <w:r w:rsidR="00C133DC" w:rsidRPr="00615350">
        <w:rPr>
          <w:rFonts w:asciiTheme="minorHAnsi" w:hAnsiTheme="minorHAnsi"/>
          <w:lang w:val="en-US"/>
        </w:rPr>
        <w:t xml:space="preserve"> are encoded using the Static Move Descriptor (SMD) </w:t>
      </w:r>
      <w:r w:rsidR="00EB50D6">
        <w:rPr>
          <w:rFonts w:asciiTheme="minorHAnsi" w:hAnsiTheme="minorHAnsi"/>
          <w:lang w:val="en-US"/>
        </w:rPr>
        <w:t>mechanism</w:t>
      </w:r>
      <w:r w:rsidR="00C133DC" w:rsidRPr="00615350">
        <w:rPr>
          <w:rFonts w:asciiTheme="minorHAnsi" w:hAnsiTheme="minorHAnsi"/>
          <w:lang w:val="en-US"/>
        </w:rPr>
        <w:t xml:space="preserve"> </w:t>
      </w:r>
      <w:r w:rsidR="00B359D0">
        <w:rPr>
          <w:rFonts w:asciiTheme="minorHAnsi" w:hAnsiTheme="minorHAnsi"/>
          <w:lang w:val="en-US"/>
        </w:rPr>
        <w:t>(</w:t>
      </w:r>
      <w:proofErr w:type="spellStart"/>
      <w:r w:rsidR="00B359D0" w:rsidRPr="00782E00">
        <w:rPr>
          <w:rFonts w:asciiTheme="minorHAnsi" w:hAnsiTheme="minorHAnsi"/>
          <w:lang w:val="en-US"/>
        </w:rPr>
        <w:t>Zachariadis</w:t>
      </w:r>
      <w:proofErr w:type="spellEnd"/>
      <w:r w:rsidR="00B359D0" w:rsidRPr="00782E00">
        <w:rPr>
          <w:rFonts w:asciiTheme="minorHAnsi" w:hAnsiTheme="minorHAnsi"/>
          <w:lang w:val="en-US"/>
        </w:rPr>
        <w:t xml:space="preserve"> and </w:t>
      </w:r>
      <w:proofErr w:type="spellStart"/>
      <w:r w:rsidR="00B359D0" w:rsidRPr="00782E00">
        <w:rPr>
          <w:rFonts w:asciiTheme="minorHAnsi" w:hAnsiTheme="minorHAnsi"/>
          <w:lang w:val="en-US"/>
        </w:rPr>
        <w:t>Kiranoudis</w:t>
      </w:r>
      <w:proofErr w:type="spellEnd"/>
      <w:r w:rsidR="00B359D0">
        <w:rPr>
          <w:rFonts w:asciiTheme="minorHAnsi" w:hAnsiTheme="minorHAnsi"/>
          <w:lang w:val="en-US"/>
        </w:rPr>
        <w:t>, 2010).</w:t>
      </w:r>
      <w:r w:rsidR="00C133DC" w:rsidRPr="00615350">
        <w:rPr>
          <w:rFonts w:asciiTheme="minorHAnsi" w:hAnsiTheme="minorHAnsi"/>
          <w:lang w:val="en-US"/>
        </w:rPr>
        <w:t xml:space="preserve"> The main principle of the </w:t>
      </w:r>
      <w:r w:rsidR="00EB50D6">
        <w:rPr>
          <w:rFonts w:asciiTheme="minorHAnsi" w:hAnsiTheme="minorHAnsi"/>
          <w:lang w:val="en-US"/>
        </w:rPr>
        <w:t>latter</w:t>
      </w:r>
      <w:r w:rsidR="00C133DC" w:rsidRPr="00615350">
        <w:rPr>
          <w:rFonts w:asciiTheme="minorHAnsi" w:hAnsiTheme="minorHAnsi"/>
          <w:lang w:val="en-US"/>
        </w:rPr>
        <w:t xml:space="preserve"> is that local moves are mapped to static entities. Every SMD instance, apart from encoding a particular move, also contains the objective function change that this move would cause if applied to the candidate solution. Along the </w:t>
      </w:r>
      <w:r w:rsidR="00C133DC" w:rsidRPr="00615350">
        <w:rPr>
          <w:rFonts w:asciiTheme="minorHAnsi" w:hAnsiTheme="minorHAnsi"/>
          <w:lang w:val="en-US"/>
        </w:rPr>
        <w:lastRenderedPageBreak/>
        <w:t>search process, when a structural modification is performed to the candidate solution, only the objective of the affected SMD instances has to be re-evaluated. Thus, redundant objective re-calculations are avoided.</w:t>
      </w:r>
    </w:p>
    <w:p w:rsidR="00F01DC2" w:rsidRDefault="00D83668" w:rsidP="00F00EA5">
      <w:pPr>
        <w:pStyle w:val="ListParagraph"/>
        <w:ind w:left="0" w:firstLine="720"/>
        <w:jc w:val="both"/>
      </w:pPr>
      <w:r>
        <w:t xml:space="preserve">Our </w:t>
      </w:r>
      <w:bookmarkStart w:id="203" w:name="OLE_LINK56"/>
      <w:bookmarkStart w:id="204" w:name="OLE_LINK57"/>
      <w:bookmarkStart w:id="205" w:name="OLE_LINK68"/>
      <w:r>
        <w:t xml:space="preserve">Tabu Search framework operates according to the best admissible </w:t>
      </w:r>
      <w:r w:rsidR="00EB50D6">
        <w:t xml:space="preserve">local </w:t>
      </w:r>
      <w:r>
        <w:t xml:space="preserve">move scheme. </w:t>
      </w:r>
      <w:bookmarkStart w:id="206" w:name="OLE_LINK637"/>
      <w:bookmarkStart w:id="207" w:name="OLE_LINK638"/>
      <w:bookmarkStart w:id="208" w:name="OLE_LINK639"/>
      <w:bookmarkStart w:id="209" w:name="OLE_LINK749"/>
      <w:bookmarkStart w:id="210" w:name="OLE_LINK750"/>
      <w:bookmarkStart w:id="211" w:name="OLE_LINK751"/>
      <w:bookmarkEnd w:id="203"/>
      <w:bookmarkEnd w:id="204"/>
      <w:bookmarkEnd w:id="205"/>
      <w:r w:rsidR="00EB50D6">
        <w:t>Specifically</w:t>
      </w:r>
      <w:r>
        <w:t xml:space="preserve">, </w:t>
      </w:r>
      <w:r w:rsidR="004B5FEC">
        <w:t xml:space="preserve">all </w:t>
      </w:r>
      <w:r>
        <w:t>neighborhood</w:t>
      </w:r>
      <w:r w:rsidR="004B5FEC">
        <w:t xml:space="preserve"> </w:t>
      </w:r>
      <w:r>
        <w:t>s</w:t>
      </w:r>
      <w:r w:rsidR="004B5FEC">
        <w:t>tructures of the current incumbent solution are</w:t>
      </w:r>
      <w:r>
        <w:t xml:space="preserve"> exhaustively explored</w:t>
      </w:r>
      <w:r w:rsidR="004B5FEC">
        <w:t>,</w:t>
      </w:r>
      <w:r>
        <w:t xml:space="preserve"> and the </w:t>
      </w:r>
      <w:r w:rsidR="004B5FEC">
        <w:t xml:space="preserve">highest </w:t>
      </w:r>
      <w:r>
        <w:t xml:space="preserve">quality </w:t>
      </w:r>
      <w:r w:rsidR="004B5FEC">
        <w:t xml:space="preserve">feasible </w:t>
      </w:r>
      <w:r>
        <w:t>neighboring solution</w:t>
      </w:r>
      <w:r w:rsidR="004B5FEC">
        <w:t xml:space="preserve"> is selected </w:t>
      </w:r>
      <w:proofErr w:type="gramStart"/>
      <w:r w:rsidR="004B5FEC">
        <w:t>at each iteration</w:t>
      </w:r>
      <w:proofErr w:type="gramEnd"/>
      <w:r>
        <w:t>.</w:t>
      </w:r>
      <w:bookmarkEnd w:id="206"/>
      <w:bookmarkEnd w:id="207"/>
      <w:bookmarkEnd w:id="208"/>
      <w:bookmarkEnd w:id="209"/>
      <w:bookmarkEnd w:id="210"/>
      <w:bookmarkEnd w:id="211"/>
      <w:r w:rsidR="00A66341">
        <w:t xml:space="preserve"> </w:t>
      </w:r>
      <w:r>
        <w:t xml:space="preserve">To avoid an over-intensified search, the proposed </w:t>
      </w:r>
      <w:r w:rsidR="004B5FEC">
        <w:t>framework</w:t>
      </w:r>
      <w:r>
        <w:t xml:space="preserve"> is equipped with a diversification component based on the aspiration criteria of Tabu Search and the Attribute Hill Climber </w:t>
      </w:r>
      <w:r w:rsidR="00436C99">
        <w:t>(</w:t>
      </w:r>
      <w:proofErr w:type="spellStart"/>
      <w:r w:rsidR="00436C99" w:rsidRPr="00436C99">
        <w:t>Whittley</w:t>
      </w:r>
      <w:proofErr w:type="spellEnd"/>
      <w:r w:rsidR="00436C99" w:rsidRPr="00436C99">
        <w:t xml:space="preserve"> and Smith</w:t>
      </w:r>
      <w:r w:rsidR="00436C99">
        <w:t>, 2004)</w:t>
      </w:r>
      <w:r w:rsidR="00D5712C">
        <w:t xml:space="preserve">. </w:t>
      </w:r>
      <w:r w:rsidR="004B5FEC">
        <w:t>E</w:t>
      </w:r>
      <w:r>
        <w:t xml:space="preserve">ach </w:t>
      </w:r>
      <w:r w:rsidRPr="00C4729D">
        <w:t>arc</w:t>
      </w:r>
      <w:r w:rsidRPr="00C4729D">
        <w:rPr>
          <w:i/>
        </w:rPr>
        <w:t xml:space="preserve"> (</w:t>
      </w:r>
      <w:proofErr w:type="spellStart"/>
      <w:r w:rsidRPr="00C4729D">
        <w:rPr>
          <w:i/>
        </w:rPr>
        <w:t>i</w:t>
      </w:r>
      <w:proofErr w:type="spellEnd"/>
      <w:r w:rsidRPr="00C4729D">
        <w:rPr>
          <w:i/>
        </w:rPr>
        <w:t xml:space="preserve">, j) </w:t>
      </w:r>
      <w:r w:rsidRPr="00C4729D">
        <w:rPr>
          <w:rFonts w:ascii="Cambria Math" w:hAnsi="Cambria Math" w:cs="Cambria Math"/>
          <w:i/>
        </w:rPr>
        <w:t>∈</w:t>
      </w:r>
      <w:r w:rsidRPr="00C4729D">
        <w:rPr>
          <w:rFonts w:ascii="Calibri" w:hAnsi="Calibri" w:cs="Calibri"/>
          <w:i/>
        </w:rPr>
        <w:t xml:space="preserve"> A</w:t>
      </w:r>
      <w:r>
        <w:t xml:space="preserve"> is associated with a threshold tag </w:t>
      </w:r>
      <w:proofErr w:type="spellStart"/>
      <w:r w:rsidRPr="00C4729D">
        <w:rPr>
          <w:i/>
        </w:rPr>
        <w:t>t</w:t>
      </w:r>
      <w:r w:rsidRPr="00C4729D">
        <w:rPr>
          <w:i/>
          <w:vertAlign w:val="subscript"/>
        </w:rPr>
        <w:t>a</w:t>
      </w:r>
      <w:proofErr w:type="spellEnd"/>
      <w:r>
        <w:t xml:space="preserve">. Every time a </w:t>
      </w:r>
      <w:r w:rsidR="004B5FEC">
        <w:t xml:space="preserve">local </w:t>
      </w:r>
      <w:r>
        <w:t xml:space="preserve">move </w:t>
      </w:r>
      <w:r w:rsidRPr="00C4729D">
        <w:rPr>
          <w:i/>
        </w:rPr>
        <w:t>m</w:t>
      </w:r>
      <w:r>
        <w:t xml:space="preserve"> is applied to a solution </w:t>
      </w:r>
      <w:r w:rsidR="004B5FEC" w:rsidRPr="004B5FEC">
        <w:rPr>
          <w:i/>
        </w:rPr>
        <w:t>s</w:t>
      </w:r>
      <w:r>
        <w:t xml:space="preserve"> with objective value </w:t>
      </w:r>
      <w:r w:rsidRPr="00C4729D">
        <w:rPr>
          <w:i/>
        </w:rPr>
        <w:t>z(</w:t>
      </w:r>
      <w:r w:rsidR="004B5FEC" w:rsidRPr="00C4729D">
        <w:rPr>
          <w:i/>
        </w:rPr>
        <w:t>s</w:t>
      </w:r>
      <w:r w:rsidRPr="00C4729D">
        <w:rPr>
          <w:i/>
        </w:rPr>
        <w:t>)</w:t>
      </w:r>
      <w:r>
        <w:t>, the threshold tags of the eliminated arcs (</w:t>
      </w:r>
      <w:proofErr w:type="spellStart"/>
      <w:r w:rsidRPr="00C4729D">
        <w:rPr>
          <w:i/>
        </w:rPr>
        <w:t>E</w:t>
      </w:r>
      <w:r w:rsidRPr="00C4729D">
        <w:rPr>
          <w:i/>
          <w:vertAlign w:val="subscript"/>
        </w:rPr>
        <w:t>m</w:t>
      </w:r>
      <w:proofErr w:type="spellEnd"/>
      <w:r>
        <w:t>)</w:t>
      </w:r>
      <w:r w:rsidR="00A66341">
        <w:t xml:space="preserve"> </w:t>
      </w:r>
      <w:r>
        <w:t xml:space="preserve">are set equal to </w:t>
      </w:r>
      <w:r w:rsidRPr="00C4729D">
        <w:rPr>
          <w:i/>
        </w:rPr>
        <w:t>z(</w:t>
      </w:r>
      <w:r w:rsidR="004B5FEC" w:rsidRPr="00C4729D">
        <w:rPr>
          <w:i/>
        </w:rPr>
        <w:t>s</w:t>
      </w:r>
      <w:r w:rsidRPr="00C4729D">
        <w:rPr>
          <w:i/>
        </w:rPr>
        <w:t>)</w:t>
      </w:r>
      <w:r w:rsidRPr="00C133DC">
        <w:t xml:space="preserve">, i.e. </w:t>
      </w:r>
      <w:proofErr w:type="spellStart"/>
      <w:r w:rsidRPr="00C4729D">
        <w:rPr>
          <w:i/>
        </w:rPr>
        <w:t>t</w:t>
      </w:r>
      <w:r w:rsidRPr="00C4729D">
        <w:rPr>
          <w:i/>
          <w:vertAlign w:val="subscript"/>
        </w:rPr>
        <w:t>a</w:t>
      </w:r>
      <w:proofErr w:type="spellEnd"/>
      <w:r w:rsidRPr="00C133DC">
        <w:t xml:space="preserve"> = </w:t>
      </w:r>
      <w:r w:rsidRPr="00C4729D">
        <w:rPr>
          <w:i/>
        </w:rPr>
        <w:t>z(</w:t>
      </w:r>
      <w:r w:rsidR="004B5FEC" w:rsidRPr="00C4729D">
        <w:rPr>
          <w:i/>
        </w:rPr>
        <w:t>s</w:t>
      </w:r>
      <w:r w:rsidRPr="00C4729D">
        <w:rPr>
          <w:i/>
        </w:rPr>
        <w:t>)</w:t>
      </w:r>
      <w:r w:rsidRPr="00C133DC">
        <w:t xml:space="preserve">, </w:t>
      </w:r>
      <w:r w:rsidRPr="00C4729D">
        <w:rPr>
          <w:rFonts w:ascii="Cambria Math" w:hAnsi="Cambria Math" w:cs="Cambria Math"/>
          <w:i/>
        </w:rPr>
        <w:t>∀</w:t>
      </w:r>
      <w:r w:rsidR="00A66341" w:rsidRPr="00C4729D">
        <w:rPr>
          <w:rFonts w:ascii="Cambria Math" w:hAnsi="Cambria Math" w:cs="Cambria Math"/>
          <w:i/>
        </w:rPr>
        <w:t xml:space="preserve"> </w:t>
      </w:r>
      <w:r w:rsidR="00A66341" w:rsidRPr="00C4729D">
        <w:rPr>
          <w:i/>
        </w:rPr>
        <w:t xml:space="preserve">a </w:t>
      </w:r>
      <w:r w:rsidRPr="00C4729D">
        <w:rPr>
          <w:rFonts w:ascii="Cambria Math" w:hAnsi="Cambria Math" w:cs="Cambria Math"/>
          <w:i/>
        </w:rPr>
        <w:t>∈</w:t>
      </w:r>
      <w:r w:rsidR="00A66341" w:rsidRPr="00C4729D">
        <w:rPr>
          <w:rFonts w:ascii="Cambria Math" w:hAnsi="Cambria Math" w:cs="Cambria Math"/>
          <w:i/>
        </w:rPr>
        <w:t xml:space="preserve"> </w:t>
      </w:r>
      <w:proofErr w:type="spellStart"/>
      <w:r w:rsidRPr="00C4729D">
        <w:rPr>
          <w:i/>
        </w:rPr>
        <w:t>E</w:t>
      </w:r>
      <w:r w:rsidRPr="00C4729D">
        <w:rPr>
          <w:i/>
          <w:vertAlign w:val="subscript"/>
        </w:rPr>
        <w:t>m</w:t>
      </w:r>
      <w:proofErr w:type="spellEnd"/>
      <w:r>
        <w:t xml:space="preserve">. Any </w:t>
      </w:r>
      <w:r w:rsidR="004B5FEC">
        <w:t xml:space="preserve">local </w:t>
      </w:r>
      <w:r>
        <w:t xml:space="preserve">move </w:t>
      </w:r>
      <w:r w:rsidRPr="00C4729D">
        <w:rPr>
          <w:i/>
        </w:rPr>
        <w:t>m</w:t>
      </w:r>
      <w:r>
        <w:t xml:space="preserve"> that forms a solution </w:t>
      </w:r>
      <w:r w:rsidR="004B5FEC" w:rsidRPr="00C4729D">
        <w:rPr>
          <w:i/>
        </w:rPr>
        <w:t>s</w:t>
      </w:r>
      <w:r w:rsidRPr="00C4729D">
        <w:rPr>
          <w:i/>
        </w:rPr>
        <w:t>’</w:t>
      </w:r>
      <w:r>
        <w:t xml:space="preserve"> is considered admissible only if the cost tags of the generated arcs (</w:t>
      </w:r>
      <w:r w:rsidRPr="00C4729D">
        <w:rPr>
          <w:i/>
        </w:rPr>
        <w:t>C</w:t>
      </w:r>
      <w:r w:rsidRPr="00C4729D">
        <w:rPr>
          <w:i/>
          <w:vertAlign w:val="subscript"/>
        </w:rPr>
        <w:t>m</w:t>
      </w:r>
      <w:r>
        <w:t xml:space="preserve">) exceed the objective value of the modified solution </w:t>
      </w:r>
      <w:r w:rsidR="004B5FEC" w:rsidRPr="00C4729D">
        <w:rPr>
          <w:i/>
        </w:rPr>
        <w:t>s</w:t>
      </w:r>
      <w:r w:rsidRPr="00C4729D">
        <w:rPr>
          <w:i/>
        </w:rPr>
        <w:t>’</w:t>
      </w:r>
      <w:r>
        <w:t xml:space="preserve">, i.e. </w:t>
      </w:r>
      <w:proofErr w:type="spellStart"/>
      <w:r w:rsidRPr="00C4729D">
        <w:rPr>
          <w:i/>
        </w:rPr>
        <w:t>t</w:t>
      </w:r>
      <w:r w:rsidRPr="00C4729D">
        <w:rPr>
          <w:i/>
          <w:vertAlign w:val="subscript"/>
        </w:rPr>
        <w:t>a</w:t>
      </w:r>
      <w:proofErr w:type="spellEnd"/>
      <w:r w:rsidR="00C4729D">
        <w:rPr>
          <w:i/>
          <w:vertAlign w:val="subscript"/>
        </w:rPr>
        <w:t xml:space="preserve"> </w:t>
      </w:r>
      <w:r>
        <w:t>&gt;</w:t>
      </w:r>
      <w:r w:rsidR="00C4729D">
        <w:t xml:space="preserve"> </w:t>
      </w:r>
      <w:r w:rsidRPr="00C4729D">
        <w:rPr>
          <w:i/>
        </w:rPr>
        <w:t>z(</w:t>
      </w:r>
      <w:r w:rsidR="004B5FEC" w:rsidRPr="00C4729D">
        <w:rPr>
          <w:i/>
        </w:rPr>
        <w:t>s’</w:t>
      </w:r>
      <w:r w:rsidRPr="00C4729D">
        <w:rPr>
          <w:i/>
        </w:rPr>
        <w:t>)</w:t>
      </w:r>
      <w:r w:rsidR="00491D4C">
        <w:t xml:space="preserve">, </w:t>
      </w:r>
      <w:r w:rsidR="00625F68" w:rsidRPr="00C4729D">
        <w:rPr>
          <w:rFonts w:ascii="Arial Unicode MS" w:eastAsia="Arial Unicode MS" w:hAnsi="Arial Unicode MS" w:cs="Arial Unicode MS" w:hint="eastAsia"/>
          <w:i/>
        </w:rPr>
        <w:t>∀</w:t>
      </w:r>
      <w:r w:rsidR="00A66341" w:rsidRPr="00C4729D">
        <w:rPr>
          <w:rFonts w:ascii="Arial Unicode MS" w:eastAsia="Arial Unicode MS" w:hAnsi="Arial Unicode MS" w:cs="Arial Unicode MS"/>
          <w:i/>
        </w:rPr>
        <w:t xml:space="preserve"> </w:t>
      </w:r>
      <w:r w:rsidRPr="00C4729D">
        <w:rPr>
          <w:i/>
        </w:rPr>
        <w:t>a</w:t>
      </w:r>
      <w:r w:rsidR="00A66341" w:rsidRPr="00C4729D">
        <w:rPr>
          <w:i/>
        </w:rPr>
        <w:t xml:space="preserve"> </w:t>
      </w:r>
      <w:r w:rsidRPr="00C4729D">
        <w:rPr>
          <w:rFonts w:ascii="Cambria Math" w:hAnsi="Cambria Math" w:cs="Cambria Math"/>
          <w:i/>
        </w:rPr>
        <w:t>∈</w:t>
      </w:r>
      <w:r w:rsidR="00A66341" w:rsidRPr="00C4729D">
        <w:rPr>
          <w:rFonts w:ascii="Cambria Math" w:hAnsi="Cambria Math" w:cs="Cambria Math"/>
          <w:i/>
        </w:rPr>
        <w:t xml:space="preserve"> </w:t>
      </w:r>
      <w:r w:rsidRPr="00C4729D">
        <w:rPr>
          <w:i/>
        </w:rPr>
        <w:t>C</w:t>
      </w:r>
      <w:r w:rsidRPr="00C4729D">
        <w:rPr>
          <w:i/>
          <w:vertAlign w:val="subscript"/>
        </w:rPr>
        <w:t>m</w:t>
      </w:r>
      <w:r>
        <w:t>.</w:t>
      </w:r>
      <w:bookmarkEnd w:id="0"/>
      <w:bookmarkEnd w:id="1"/>
      <w:bookmarkEnd w:id="2"/>
      <w:bookmarkEnd w:id="3"/>
      <w:r w:rsidR="00A52C25">
        <w:t xml:space="preserve"> Note that the threshold tags are re-initialized to a large value after a number of iterations </w:t>
      </w:r>
      <w:r w:rsidR="00A52C25" w:rsidRPr="00A52C25">
        <w:rPr>
          <w:i/>
        </w:rPr>
        <w:t>w</w:t>
      </w:r>
      <w:r w:rsidR="004B5FEC">
        <w:t>, while a maximum number of iterations is imposed as termination condition.</w:t>
      </w:r>
    </w:p>
    <w:p w:rsidR="00F00EA5" w:rsidRPr="00B20A00" w:rsidRDefault="00F00EA5" w:rsidP="00F01DC2">
      <w:pPr>
        <w:pStyle w:val="ListParagraph"/>
        <w:ind w:left="0"/>
        <w:jc w:val="both"/>
      </w:pPr>
    </w:p>
    <w:p w:rsidR="0002678C" w:rsidRDefault="00DC6D8D" w:rsidP="00F00EA5">
      <w:pPr>
        <w:pStyle w:val="ListParagraph"/>
        <w:spacing w:after="0"/>
        <w:ind w:left="0"/>
        <w:jc w:val="both"/>
        <w:outlineLvl w:val="0"/>
        <w:rPr>
          <w:rFonts w:cs="Times New Roman"/>
          <w:b/>
        </w:rPr>
      </w:pPr>
      <w:r>
        <w:rPr>
          <w:rFonts w:cs="Times New Roman"/>
          <w:b/>
        </w:rPr>
        <w:t>Computational s</w:t>
      </w:r>
      <w:r w:rsidR="00343891" w:rsidRPr="0002678C">
        <w:rPr>
          <w:rFonts w:cs="Times New Roman"/>
          <w:b/>
        </w:rPr>
        <w:t>tudy</w:t>
      </w:r>
    </w:p>
    <w:p w:rsidR="00B12A88" w:rsidRDefault="00D02F46" w:rsidP="00F00EA5">
      <w:pPr>
        <w:pStyle w:val="ListParagraph"/>
        <w:spacing w:after="0"/>
        <w:ind w:left="0"/>
        <w:jc w:val="both"/>
      </w:pPr>
      <w:r w:rsidRPr="005B70EC">
        <w:t xml:space="preserve">In this section, we present the results of </w:t>
      </w:r>
      <w:r>
        <w:t>our</w:t>
      </w:r>
      <w:r w:rsidRPr="005B70EC">
        <w:t xml:space="preserve"> computational study.</w:t>
      </w:r>
      <w:r w:rsidR="00A66341">
        <w:t xml:space="preserve"> </w:t>
      </w:r>
      <w:r w:rsidR="001D1F9F">
        <w:t>The</w:t>
      </w:r>
      <w:r w:rsidR="00AE2881">
        <w:t xml:space="preserve"> computational experiments are </w:t>
      </w:r>
      <w:r w:rsidR="00EB2E8F">
        <w:t>organized</w:t>
      </w:r>
      <w:r w:rsidR="00AE2881">
        <w:t xml:space="preserve"> in three subsections. In </w:t>
      </w:r>
      <w:r w:rsidR="003936A4">
        <w:t>the first section</w:t>
      </w:r>
      <w:r w:rsidR="00AE2881">
        <w:t xml:space="preserve">, we solve well-known benchmark instances of </w:t>
      </w:r>
      <w:r w:rsidR="003E506E">
        <w:t xml:space="preserve">the examined </w:t>
      </w:r>
      <w:r w:rsidR="001D1F9F">
        <w:t>transportation problems</w:t>
      </w:r>
      <w:r w:rsidR="00DF5301">
        <w:t xml:space="preserve"> so as</w:t>
      </w:r>
      <w:r w:rsidR="001D1F9F">
        <w:t xml:space="preserve"> </w:t>
      </w:r>
      <w:r w:rsidR="00AE2881">
        <w:t xml:space="preserve">to </w:t>
      </w:r>
      <w:r w:rsidR="001D1F9F">
        <w:t xml:space="preserve">access the effectiveness of the proposed </w:t>
      </w:r>
      <w:r w:rsidR="004E6868">
        <w:t>so</w:t>
      </w:r>
      <w:r w:rsidR="001D1F9F">
        <w:t>lution method with respect to the current state of the art approaches of the literature</w:t>
      </w:r>
      <w:r w:rsidR="00AC4AC2">
        <w:t xml:space="preserve">. </w:t>
      </w:r>
      <w:r w:rsidR="003936A4">
        <w:t>In the next two sections</w:t>
      </w:r>
      <w:r w:rsidR="00EB2E8F">
        <w:t>,</w:t>
      </w:r>
      <w:r w:rsidR="00AE2881">
        <w:t xml:space="preserve"> we </w:t>
      </w:r>
      <w:r w:rsidR="00DF5301">
        <w:t>generate and solve test cases with</w:t>
      </w:r>
      <w:r w:rsidR="00AE2881">
        <w:t xml:space="preserve"> different characteristics</w:t>
      </w:r>
      <w:r w:rsidR="00A66341">
        <w:t xml:space="preserve"> </w:t>
      </w:r>
      <w:r w:rsidR="00210FDB">
        <w:t xml:space="preserve">for the direct shipping and the cross-docking </w:t>
      </w:r>
      <w:r w:rsidR="00DF5301">
        <w:t>strategies</w:t>
      </w:r>
      <w:r w:rsidR="00210FDB">
        <w:t>, namely</w:t>
      </w:r>
      <w:r w:rsidR="00A66341">
        <w:t xml:space="preserve"> </w:t>
      </w:r>
      <w:r w:rsidR="00210FDB">
        <w:t>Data Set I and Data Set II</w:t>
      </w:r>
      <w:r w:rsidR="001D1F9F">
        <w:t xml:space="preserve">. </w:t>
      </w:r>
      <w:r w:rsidR="00A00DB1">
        <w:t>The former</w:t>
      </w:r>
      <w:r w:rsidR="00210FDB">
        <w:t xml:space="preserve"> considers unique</w:t>
      </w:r>
      <w:r w:rsidR="00A9627D">
        <w:t>ly</w:t>
      </w:r>
      <w:r w:rsidR="00EC3509">
        <w:t xml:space="preserve"> </w:t>
      </w:r>
      <w:r w:rsidR="00B9714B">
        <w:t xml:space="preserve">defined </w:t>
      </w:r>
      <w:r w:rsidR="00210FDB">
        <w:t>supplier</w:t>
      </w:r>
      <w:r w:rsidR="00EB2E8F">
        <w:t xml:space="preserve"> and </w:t>
      </w:r>
      <w:r w:rsidR="00210FDB">
        <w:t xml:space="preserve">customer </w:t>
      </w:r>
      <w:r w:rsidR="00EB2E8F">
        <w:t>nodes</w:t>
      </w:r>
      <w:r w:rsidR="00210FDB">
        <w:t xml:space="preserve">, </w:t>
      </w:r>
      <w:r w:rsidR="00EC3509">
        <w:t>whereas</w:t>
      </w:r>
      <w:r w:rsidR="00210FDB">
        <w:t xml:space="preserve"> </w:t>
      </w:r>
      <w:r w:rsidR="00A00DB1">
        <w:t>the latter</w:t>
      </w:r>
      <w:r w:rsidR="00210FDB">
        <w:t xml:space="preserve"> considers </w:t>
      </w:r>
      <w:r w:rsidR="002D78B6">
        <w:t xml:space="preserve">groups of </w:t>
      </w:r>
      <w:r w:rsidR="00210FDB">
        <w:t>c</w:t>
      </w:r>
      <w:r w:rsidR="00210FDB" w:rsidRPr="00E15DD2">
        <w:t xml:space="preserve">ollocated supplier and customer nodes </w:t>
      </w:r>
      <w:r w:rsidR="00286EB6">
        <w:t>to reflect the scena</w:t>
      </w:r>
      <w:r w:rsidR="002D78B6">
        <w:t>rio of a</w:t>
      </w:r>
      <w:r w:rsidR="00210FDB" w:rsidRPr="00E15DD2">
        <w:t xml:space="preserve"> </w:t>
      </w:r>
      <w:r w:rsidR="002D78B6">
        <w:t xml:space="preserve">many-to-many relation between suppliers and customers (i.e. one supplier serving multiple customers, one </w:t>
      </w:r>
      <w:r w:rsidR="00210FDB" w:rsidRPr="00E15DD2">
        <w:t xml:space="preserve">customer </w:t>
      </w:r>
      <w:r w:rsidR="002D78B6">
        <w:t>being served</w:t>
      </w:r>
      <w:r w:rsidR="00210FDB" w:rsidRPr="00E15DD2">
        <w:t xml:space="preserve"> by multiple suppliers</w:t>
      </w:r>
      <w:r w:rsidR="002D78B6">
        <w:t>)</w:t>
      </w:r>
      <w:r w:rsidR="00210FDB">
        <w:t>. For both data sets</w:t>
      </w:r>
      <w:r w:rsidR="001D1F9F">
        <w:t>, a comparative</w:t>
      </w:r>
      <w:r w:rsidR="00023C02">
        <w:t xml:space="preserve"> analysis </w:t>
      </w:r>
      <w:r w:rsidR="00AE2881">
        <w:t>on the rel</w:t>
      </w:r>
      <w:r w:rsidR="001D1F9F">
        <w:t xml:space="preserve">ative performance of </w:t>
      </w:r>
      <w:r w:rsidR="00DF5301">
        <w:t>each distribution strategy</w:t>
      </w:r>
      <w:r w:rsidR="00AE2881">
        <w:t xml:space="preserve"> as well as on the role of various key parameters is provided.</w:t>
      </w:r>
    </w:p>
    <w:p w:rsidR="001C40EE" w:rsidRPr="0052673B" w:rsidRDefault="001D1F9F" w:rsidP="00E00EFD">
      <w:pPr>
        <w:pStyle w:val="ListParagraph"/>
        <w:ind w:left="0" w:firstLine="720"/>
        <w:jc w:val="both"/>
      </w:pPr>
      <w:r>
        <w:t>The proposed solution method was</w:t>
      </w:r>
      <w:r w:rsidR="007D49A9">
        <w:t xml:space="preserve"> coded in Visual C#</w:t>
      </w:r>
      <w:r>
        <w:t>. All computational experiments are</w:t>
      </w:r>
      <w:r w:rsidR="000E620E">
        <w:t xml:space="preserve"> </w:t>
      </w:r>
      <w:r w:rsidR="00175695">
        <w:t>performed</w:t>
      </w:r>
      <w:r w:rsidR="000E620E">
        <w:t xml:space="preserve"> </w:t>
      </w:r>
      <w:r w:rsidR="00B47455">
        <w:rPr>
          <w:rFonts w:ascii="Calibri" w:hAnsi="Calibri" w:cs="Calibri"/>
        </w:rPr>
        <w:t xml:space="preserve">on a </w:t>
      </w:r>
      <w:r w:rsidR="00752F10">
        <w:rPr>
          <w:rFonts w:ascii="Calibri" w:hAnsi="Calibri" w:cs="Calibri"/>
        </w:rPr>
        <w:t xml:space="preserve">single core of a </w:t>
      </w:r>
      <w:r w:rsidR="00B47455">
        <w:rPr>
          <w:rFonts w:ascii="Calibri" w:hAnsi="Calibri" w:cs="Calibri"/>
        </w:rPr>
        <w:t xml:space="preserve">computer system equipped with an Intel(R) </w:t>
      </w:r>
      <w:r w:rsidR="00752F10">
        <w:rPr>
          <w:rFonts w:ascii="Calibri" w:hAnsi="Calibri" w:cs="Calibri"/>
        </w:rPr>
        <w:t>Xeon(R)</w:t>
      </w:r>
      <w:r w:rsidR="00B47455">
        <w:rPr>
          <w:rFonts w:ascii="Calibri" w:hAnsi="Calibri" w:cs="Calibri"/>
        </w:rPr>
        <w:t xml:space="preserve"> </w:t>
      </w:r>
      <w:r w:rsidR="00B0348B">
        <w:rPr>
          <w:rFonts w:ascii="Calibri" w:hAnsi="Calibri" w:cs="Calibri"/>
        </w:rPr>
        <w:t xml:space="preserve">CPU E5-2650 v2 </w:t>
      </w:r>
      <w:r w:rsidR="00B47455">
        <w:rPr>
          <w:rFonts w:ascii="Calibri" w:hAnsi="Calibri" w:cs="Calibri"/>
        </w:rPr>
        <w:t>(2.</w:t>
      </w:r>
      <w:r w:rsidR="00B0348B">
        <w:rPr>
          <w:rFonts w:ascii="Calibri" w:hAnsi="Calibri" w:cs="Calibri"/>
        </w:rPr>
        <w:t>60</w:t>
      </w:r>
      <w:r w:rsidR="00B47455">
        <w:rPr>
          <w:rFonts w:ascii="Calibri" w:hAnsi="Calibri" w:cs="Calibri"/>
        </w:rPr>
        <w:t xml:space="preserve"> GHz) and </w:t>
      </w:r>
      <w:r w:rsidR="006B370D" w:rsidRPr="006B370D">
        <w:rPr>
          <w:rFonts w:ascii="Calibri" w:hAnsi="Calibri" w:cs="Calibri"/>
        </w:rPr>
        <w:t>16</w:t>
      </w:r>
      <w:r w:rsidR="00B47455">
        <w:rPr>
          <w:rFonts w:ascii="Calibri" w:hAnsi="Calibri" w:cs="Calibri"/>
        </w:rPr>
        <w:t xml:space="preserve"> GB of RAM</w:t>
      </w:r>
      <w:r w:rsidR="00752F10">
        <w:rPr>
          <w:rFonts w:ascii="Calibri" w:hAnsi="Calibri" w:cs="Calibri"/>
        </w:rPr>
        <w:t xml:space="preserve"> under Windows Server 2012</w:t>
      </w:r>
      <w:r w:rsidR="00B47455">
        <w:rPr>
          <w:rFonts w:ascii="Calibri" w:hAnsi="Calibri" w:cs="Calibri"/>
        </w:rPr>
        <w:t xml:space="preserve">. </w:t>
      </w:r>
      <w:r>
        <w:t>Unless otherwise stat</w:t>
      </w:r>
      <w:r w:rsidR="00175695">
        <w:t>ed, our algorithm is executed</w:t>
      </w:r>
      <w:r w:rsidR="00752F10">
        <w:t xml:space="preserve"> </w:t>
      </w:r>
      <w:r w:rsidR="00A52C25">
        <w:t>10</w:t>
      </w:r>
      <w:r w:rsidRPr="00F93F0D">
        <w:t xml:space="preserve"> times </w:t>
      </w:r>
      <w:r w:rsidR="00175695">
        <w:t>for</w:t>
      </w:r>
      <w:r w:rsidRPr="00F93F0D">
        <w:t xml:space="preserve"> each benchmark instance</w:t>
      </w:r>
      <w:r w:rsidR="00175695">
        <w:t>, and the best solution found is reported</w:t>
      </w:r>
      <w:r w:rsidRPr="00F93F0D">
        <w:t xml:space="preserve">. The termination condition for each </w:t>
      </w:r>
      <w:r w:rsidR="00175695">
        <w:t>run</w:t>
      </w:r>
      <w:r w:rsidR="000E620E">
        <w:t xml:space="preserve"> </w:t>
      </w:r>
      <w:r w:rsidRPr="00F93F0D">
        <w:t xml:space="preserve">was the completion of </w:t>
      </w:r>
      <w:r>
        <w:t>100</w:t>
      </w:r>
      <w:r w:rsidRPr="00F93F0D">
        <w:t xml:space="preserve">,000 </w:t>
      </w:r>
      <w:r w:rsidR="00A52C25">
        <w:t xml:space="preserve">Tabu Search </w:t>
      </w:r>
      <w:r w:rsidRPr="00F93F0D">
        <w:t>iterations</w:t>
      </w:r>
      <w:r w:rsidR="00A52C25">
        <w:t xml:space="preserve">, and parameter </w:t>
      </w:r>
      <w:r w:rsidR="00A52C25" w:rsidRPr="00A52C25">
        <w:rPr>
          <w:i/>
        </w:rPr>
        <w:t>w</w:t>
      </w:r>
      <w:r w:rsidR="00A52C25">
        <w:t xml:space="preserve"> </w:t>
      </w:r>
      <w:r w:rsidR="00063C88">
        <w:t>is set to 100.</w:t>
      </w:r>
      <w:r w:rsidR="00175695">
        <w:t xml:space="preserve"> Detailed</w:t>
      </w:r>
      <w:r>
        <w:t xml:space="preserve"> results are </w:t>
      </w:r>
      <w:r w:rsidR="00175695">
        <w:t xml:space="preserve">also </w:t>
      </w:r>
      <w:r>
        <w:t xml:space="preserve">available at xxx. </w:t>
      </w:r>
      <w:r w:rsidR="005620D8">
        <w:t>All reported computational times are in seconds.</w:t>
      </w:r>
    </w:p>
    <w:p w:rsidR="0002678C" w:rsidRPr="00531714" w:rsidRDefault="009B3840" w:rsidP="00D204A3">
      <w:pPr>
        <w:autoSpaceDE w:val="0"/>
        <w:autoSpaceDN w:val="0"/>
        <w:adjustRightInd w:val="0"/>
        <w:spacing w:after="0"/>
        <w:jc w:val="both"/>
        <w:outlineLvl w:val="0"/>
        <w:rPr>
          <w:i/>
        </w:rPr>
      </w:pPr>
      <w:r>
        <w:rPr>
          <w:i/>
        </w:rPr>
        <w:t>Assessment</w:t>
      </w:r>
      <w:r w:rsidR="00286EB6" w:rsidRPr="00531714">
        <w:rPr>
          <w:i/>
        </w:rPr>
        <w:t xml:space="preserve"> of the proposed </w:t>
      </w:r>
      <w:r>
        <w:rPr>
          <w:i/>
        </w:rPr>
        <w:t xml:space="preserve">optimization </w:t>
      </w:r>
      <w:r w:rsidR="00286EB6" w:rsidRPr="00531714">
        <w:rPr>
          <w:i/>
        </w:rPr>
        <w:t>method</w:t>
      </w:r>
      <w:r w:rsidR="00175695" w:rsidRPr="00531714">
        <w:rPr>
          <w:i/>
        </w:rPr>
        <w:t xml:space="preserve"> </w:t>
      </w:r>
      <w:r w:rsidR="00210FDB" w:rsidRPr="00531714">
        <w:rPr>
          <w:i/>
        </w:rPr>
        <w:t>for the PDP and the VRPCD</w:t>
      </w:r>
    </w:p>
    <w:p w:rsidR="002B5829" w:rsidRDefault="008E10D9" w:rsidP="0002678C">
      <w:pPr>
        <w:autoSpaceDE w:val="0"/>
        <w:autoSpaceDN w:val="0"/>
        <w:adjustRightInd w:val="0"/>
        <w:spacing w:after="0"/>
        <w:jc w:val="both"/>
      </w:pPr>
      <w:bookmarkStart w:id="212" w:name="OLE_LINK392"/>
      <w:bookmarkStart w:id="213" w:name="OLE_LINK395"/>
      <w:r>
        <w:rPr>
          <w:color w:val="000000"/>
          <w:shd w:val="clear" w:color="auto" w:fill="FFFFFF"/>
        </w:rPr>
        <w:t xml:space="preserve">A series of </w:t>
      </w:r>
      <w:bookmarkEnd w:id="212"/>
      <w:bookmarkEnd w:id="213"/>
      <w:r>
        <w:rPr>
          <w:color w:val="000000"/>
          <w:shd w:val="clear" w:color="auto" w:fill="FFFFFF"/>
        </w:rPr>
        <w:t>computational experiments using well-known benchmark data sets for the PDP and the VRPCD has been conducted</w:t>
      </w:r>
      <w:r w:rsidR="009B3840">
        <w:rPr>
          <w:color w:val="000000"/>
          <w:shd w:val="clear" w:color="auto" w:fill="FFFFFF"/>
        </w:rPr>
        <w:t>. The main effort was</w:t>
      </w:r>
      <w:r>
        <w:rPr>
          <w:color w:val="000000"/>
          <w:shd w:val="clear" w:color="auto" w:fill="FFFFFF"/>
        </w:rPr>
        <w:t xml:space="preserve"> t</w:t>
      </w:r>
      <w:r w:rsidR="000C3FB9">
        <w:rPr>
          <w:color w:val="000000"/>
          <w:shd w:val="clear" w:color="auto" w:fill="FFFFFF"/>
        </w:rPr>
        <w:t xml:space="preserve">o </w:t>
      </w:r>
      <w:r w:rsidR="004B30A1">
        <w:t>evaluate the</w:t>
      </w:r>
      <w:r w:rsidR="000C3FB9" w:rsidRPr="004E3CDE">
        <w:t xml:space="preserve"> performance</w:t>
      </w:r>
      <w:r w:rsidR="00A66341">
        <w:t xml:space="preserve"> </w:t>
      </w:r>
      <w:r w:rsidR="004B30A1">
        <w:rPr>
          <w:color w:val="000000"/>
          <w:shd w:val="clear" w:color="auto" w:fill="FFFFFF"/>
        </w:rPr>
        <w:t xml:space="preserve">of </w:t>
      </w:r>
      <w:r w:rsidR="004308FF">
        <w:rPr>
          <w:color w:val="000000"/>
          <w:shd w:val="clear" w:color="auto" w:fill="FFFFFF"/>
        </w:rPr>
        <w:t xml:space="preserve">the proposed </w:t>
      </w:r>
      <w:r w:rsidR="009B3840">
        <w:rPr>
          <w:color w:val="000000"/>
          <w:shd w:val="clear" w:color="auto" w:fill="FFFFFF"/>
        </w:rPr>
        <w:t>local search metaheuristic algorithm</w:t>
      </w:r>
      <w:r w:rsidR="004308FF">
        <w:rPr>
          <w:color w:val="000000"/>
          <w:shd w:val="clear" w:color="auto" w:fill="FFFFFF"/>
        </w:rPr>
        <w:t xml:space="preserve">. </w:t>
      </w:r>
      <w:r w:rsidR="00DE50C4">
        <w:rPr>
          <w:color w:val="000000"/>
          <w:shd w:val="clear" w:color="auto" w:fill="FFFFFF"/>
        </w:rPr>
        <w:t xml:space="preserve">Due to the fact that most published solution approaches for the PDP and VRPCD have been applied to slightly differentiated </w:t>
      </w:r>
      <w:r w:rsidR="009B3840">
        <w:rPr>
          <w:color w:val="000000"/>
          <w:shd w:val="clear" w:color="auto" w:fill="FFFFFF"/>
        </w:rPr>
        <w:t>problem variants,</w:t>
      </w:r>
      <w:r w:rsidR="00DE50C4">
        <w:rPr>
          <w:color w:val="000000"/>
          <w:shd w:val="clear" w:color="auto" w:fill="FFFFFF"/>
        </w:rPr>
        <w:t xml:space="preserve"> </w:t>
      </w:r>
      <w:r w:rsidR="009B3840">
        <w:rPr>
          <w:color w:val="000000"/>
          <w:shd w:val="clear" w:color="auto" w:fill="FFFFFF"/>
        </w:rPr>
        <w:t>compared to</w:t>
      </w:r>
      <w:r w:rsidR="00DE50C4">
        <w:rPr>
          <w:color w:val="000000"/>
          <w:shd w:val="clear" w:color="auto" w:fill="FFFFFF"/>
        </w:rPr>
        <w:t xml:space="preserve"> the ones examined in </w:t>
      </w:r>
      <w:r w:rsidR="009B3840">
        <w:rPr>
          <w:color w:val="000000"/>
          <w:shd w:val="clear" w:color="auto" w:fill="FFFFFF"/>
        </w:rPr>
        <w:t>this</w:t>
      </w:r>
      <w:r w:rsidR="00DE50C4">
        <w:rPr>
          <w:color w:val="000000"/>
          <w:shd w:val="clear" w:color="auto" w:fill="FFFFFF"/>
        </w:rPr>
        <w:t xml:space="preserve"> paper, we have </w:t>
      </w:r>
      <w:r w:rsidR="009B3840">
        <w:rPr>
          <w:color w:val="000000"/>
          <w:shd w:val="clear" w:color="auto" w:fill="FFFFFF"/>
        </w:rPr>
        <w:t xml:space="preserve">appropriately </w:t>
      </w:r>
      <w:r w:rsidR="00DE50C4">
        <w:rPr>
          <w:color w:val="000000"/>
          <w:shd w:val="clear" w:color="auto" w:fill="FFFFFF"/>
        </w:rPr>
        <w:t xml:space="preserve">modified our algorithm to deal with these differentiated configurations in order to </w:t>
      </w:r>
      <w:r w:rsidR="009B3840">
        <w:rPr>
          <w:color w:val="000000"/>
          <w:shd w:val="clear" w:color="auto" w:fill="FFFFFF"/>
        </w:rPr>
        <w:t xml:space="preserve">ensure a secure </w:t>
      </w:r>
      <w:r w:rsidR="00DE50C4">
        <w:rPr>
          <w:color w:val="000000"/>
          <w:shd w:val="clear" w:color="auto" w:fill="FFFFFF"/>
        </w:rPr>
        <w:t>assessment</w:t>
      </w:r>
      <w:r w:rsidR="009B3840">
        <w:rPr>
          <w:color w:val="000000"/>
          <w:shd w:val="clear" w:color="auto" w:fill="FFFFFF"/>
        </w:rPr>
        <w:t xml:space="preserve"> and a fair comparison</w:t>
      </w:r>
      <w:r w:rsidR="00DE50C4">
        <w:rPr>
          <w:color w:val="000000"/>
          <w:shd w:val="clear" w:color="auto" w:fill="FFFFFF"/>
        </w:rPr>
        <w:t xml:space="preserve">. </w:t>
      </w:r>
      <w:bookmarkStart w:id="214" w:name="OLE_LINK660"/>
      <w:bookmarkStart w:id="215" w:name="OLE_LINK661"/>
      <w:bookmarkStart w:id="216" w:name="OLE_LINK662"/>
    </w:p>
    <w:p w:rsidR="003A6FF2" w:rsidRDefault="009B3840" w:rsidP="00F00EA5">
      <w:pPr>
        <w:autoSpaceDE w:val="0"/>
        <w:autoSpaceDN w:val="0"/>
        <w:adjustRightInd w:val="0"/>
        <w:spacing w:after="0"/>
        <w:ind w:firstLine="720"/>
        <w:jc w:val="both"/>
      </w:pPr>
      <w:r>
        <w:lastRenderedPageBreak/>
        <w:t>T</w:t>
      </w:r>
      <w:r w:rsidR="003A6FF2" w:rsidRPr="004E6868">
        <w:t xml:space="preserve">he benchmark data set </w:t>
      </w:r>
      <w:r w:rsidR="003A6FF2" w:rsidRPr="00880A51">
        <w:t>of Li and Lim (2001) with up to 100 customers</w:t>
      </w:r>
      <w:r w:rsidR="003A6FF2">
        <w:t xml:space="preserve"> is</w:t>
      </w:r>
      <w:r w:rsidR="003A6FF2" w:rsidRPr="00880A51">
        <w:t xml:space="preserve"> used</w:t>
      </w:r>
      <w:r>
        <w:t xml:space="preserve"> for the PDP</w:t>
      </w:r>
      <w:r w:rsidR="003A6FF2" w:rsidRPr="00880A51">
        <w:t xml:space="preserve">. </w:t>
      </w:r>
      <w:r w:rsidR="003A6FF2">
        <w:t xml:space="preserve">This data set contains problem instances </w:t>
      </w:r>
      <w:r>
        <w:t>that</w:t>
      </w:r>
      <w:r w:rsidR="003A6FF2">
        <w:t xml:space="preserve"> are</w:t>
      </w:r>
      <w:r w:rsidR="003A6FF2" w:rsidRPr="00880A51">
        <w:t xml:space="preserve"> differentiated according to the geographic distribution of </w:t>
      </w:r>
      <w:r w:rsidR="003A6FF2">
        <w:t>customers</w:t>
      </w:r>
      <w:r w:rsidR="003A6FF2" w:rsidRPr="00880A51">
        <w:t xml:space="preserve">. In particular, the </w:t>
      </w:r>
      <w:r w:rsidR="003A6FF2">
        <w:t xml:space="preserve">customers </w:t>
      </w:r>
      <w:r w:rsidR="003A6FF2" w:rsidRPr="00880A51">
        <w:t>can be clustered (</w:t>
      </w:r>
      <w:r w:rsidR="003A6FF2" w:rsidRPr="008E1A41">
        <w:rPr>
          <w:i/>
        </w:rPr>
        <w:t>LC</w:t>
      </w:r>
      <w:r w:rsidR="003A6FF2" w:rsidRPr="00880A51">
        <w:t>), randomly distributed (</w:t>
      </w:r>
      <w:r w:rsidR="003A6FF2" w:rsidRPr="008E1A41">
        <w:rPr>
          <w:i/>
        </w:rPr>
        <w:t>LR</w:t>
      </w:r>
      <w:r w:rsidR="003A6FF2" w:rsidRPr="00880A51">
        <w:t>), or partially clustered and partially randomly distributed (</w:t>
      </w:r>
      <w:r w:rsidR="003A6FF2" w:rsidRPr="008E1A41">
        <w:rPr>
          <w:i/>
        </w:rPr>
        <w:t>LRC</w:t>
      </w:r>
      <w:r w:rsidR="003A6FF2" w:rsidRPr="00880A51">
        <w:t xml:space="preserve">). </w:t>
      </w:r>
      <w:r>
        <w:t>Overall, two groups of problem instances are defined. T</w:t>
      </w:r>
      <w:r w:rsidR="003A6FF2" w:rsidRPr="00880A51">
        <w:t xml:space="preserve">he </w:t>
      </w:r>
      <w:r w:rsidR="003A6FF2">
        <w:t xml:space="preserve">instances of the </w:t>
      </w:r>
      <w:r>
        <w:t xml:space="preserve">so-called </w:t>
      </w:r>
      <w:r w:rsidR="003A6FF2" w:rsidRPr="008E1A41">
        <w:rPr>
          <w:i/>
        </w:rPr>
        <w:t>LC1</w:t>
      </w:r>
      <w:r w:rsidR="003A6FF2" w:rsidRPr="00880A51">
        <w:t xml:space="preserve">, </w:t>
      </w:r>
      <w:r w:rsidR="003A6FF2" w:rsidRPr="008E1A41">
        <w:rPr>
          <w:i/>
        </w:rPr>
        <w:t>LR1</w:t>
      </w:r>
      <w:r w:rsidR="003A6FF2" w:rsidRPr="00880A51">
        <w:t xml:space="preserve"> and</w:t>
      </w:r>
      <w:r w:rsidR="003A6FF2" w:rsidRPr="008E1A41">
        <w:rPr>
          <w:i/>
        </w:rPr>
        <w:t xml:space="preserve"> LRC1 </w:t>
      </w:r>
      <w:r w:rsidR="003A6FF2">
        <w:t>classes</w:t>
      </w:r>
      <w:r w:rsidR="003A6FF2" w:rsidRPr="00880A51">
        <w:t xml:space="preserve"> have a short scheduling horizon, while</w:t>
      </w:r>
      <w:r w:rsidR="003A6FF2">
        <w:t xml:space="preserve"> the </w:t>
      </w:r>
      <w:r w:rsidR="003A6FF2" w:rsidRPr="008E1A41">
        <w:rPr>
          <w:i/>
        </w:rPr>
        <w:t>LC2</w:t>
      </w:r>
      <w:r w:rsidR="003A6FF2" w:rsidRPr="00880A51">
        <w:t xml:space="preserve">, </w:t>
      </w:r>
      <w:r w:rsidR="003A6FF2" w:rsidRPr="008E1A41">
        <w:rPr>
          <w:i/>
        </w:rPr>
        <w:t>LR2</w:t>
      </w:r>
      <w:r w:rsidR="003A6FF2" w:rsidRPr="00880A51">
        <w:t xml:space="preserve"> and </w:t>
      </w:r>
      <w:r w:rsidR="003A6FF2" w:rsidRPr="008E1A41">
        <w:rPr>
          <w:i/>
        </w:rPr>
        <w:t>LRC2</w:t>
      </w:r>
      <w:r w:rsidR="003A6FF2" w:rsidRPr="00880A51">
        <w:t xml:space="preserve"> </w:t>
      </w:r>
      <w:r w:rsidR="003A6FF2">
        <w:t xml:space="preserve">classes </w:t>
      </w:r>
      <w:r w:rsidR="003A6FF2" w:rsidRPr="00880A51">
        <w:t xml:space="preserve">have a longer scheduling horizon. </w:t>
      </w:r>
    </w:p>
    <w:p w:rsidR="007246BF" w:rsidRDefault="007246BF" w:rsidP="00F00EA5">
      <w:pPr>
        <w:autoSpaceDE w:val="0"/>
        <w:autoSpaceDN w:val="0"/>
        <w:adjustRightInd w:val="0"/>
        <w:spacing w:after="0"/>
        <w:ind w:firstLine="720"/>
        <w:jc w:val="both"/>
        <w:rPr>
          <w:color w:val="000000"/>
          <w:shd w:val="clear" w:color="auto" w:fill="FFFFFF"/>
        </w:rPr>
      </w:pPr>
      <w:r>
        <w:rPr>
          <w:color w:val="000000"/>
          <w:shd w:val="clear" w:color="auto" w:fill="FFFFFF"/>
        </w:rPr>
        <w:t xml:space="preserve">Table 1 summarizes the results obtained for the PDP using the </w:t>
      </w:r>
      <w:r w:rsidRPr="004E6868">
        <w:t>benchmark data set of Li and Lim (2001)</w:t>
      </w:r>
      <w:r>
        <w:rPr>
          <w:color w:val="000000"/>
          <w:shd w:val="clear" w:color="auto" w:fill="FFFFFF"/>
        </w:rPr>
        <w:t xml:space="preserve">. </w:t>
      </w:r>
      <w:r w:rsidR="00E2544C">
        <w:rPr>
          <w:color w:val="000000"/>
          <w:shd w:val="clear" w:color="auto" w:fill="FFFFFF"/>
        </w:rPr>
        <w:t xml:space="preserve">The first part of the table reports the best known solutions (BKS) of the literature. The routing cost is denoted by </w:t>
      </w:r>
      <w:r w:rsidR="00E2544C" w:rsidRPr="00E2544C">
        <w:rPr>
          <w:i/>
          <w:color w:val="000000"/>
          <w:shd w:val="clear" w:color="auto" w:fill="FFFFFF"/>
        </w:rPr>
        <w:t>z</w:t>
      </w:r>
      <w:r w:rsidR="00E2544C">
        <w:rPr>
          <w:i/>
          <w:color w:val="000000"/>
          <w:shd w:val="clear" w:color="auto" w:fill="FFFFFF"/>
        </w:rPr>
        <w:t>,</w:t>
      </w:r>
      <w:r w:rsidR="00E2544C" w:rsidRPr="00E2544C">
        <w:rPr>
          <w:color w:val="000000"/>
          <w:shd w:val="clear" w:color="auto" w:fill="FFFFFF"/>
        </w:rPr>
        <w:t xml:space="preserve"> while </w:t>
      </w:r>
      <w:r w:rsidR="00E2544C" w:rsidRPr="00E2544C">
        <w:rPr>
          <w:i/>
          <w:color w:val="000000"/>
          <w:shd w:val="clear" w:color="auto" w:fill="FFFFFF"/>
        </w:rPr>
        <w:t>k</w:t>
      </w:r>
      <w:r w:rsidR="00E2544C">
        <w:rPr>
          <w:color w:val="000000"/>
          <w:shd w:val="clear" w:color="auto" w:fill="FFFFFF"/>
        </w:rPr>
        <w:t xml:space="preserve"> refers to the number of vehicles. The corresponding reference</w:t>
      </w:r>
      <w:r w:rsidR="005A40B1">
        <w:rPr>
          <w:color w:val="000000"/>
          <w:shd w:val="clear" w:color="auto" w:fill="FFFFFF"/>
        </w:rPr>
        <w:t>s are</w:t>
      </w:r>
      <w:r w:rsidR="00E2544C">
        <w:rPr>
          <w:color w:val="000000"/>
          <w:shd w:val="clear" w:color="auto" w:fill="FFFFFF"/>
        </w:rPr>
        <w:t xml:space="preserve"> also </w:t>
      </w:r>
      <w:r w:rsidR="005A40B1">
        <w:rPr>
          <w:color w:val="000000"/>
          <w:shd w:val="clear" w:color="auto" w:fill="FFFFFF"/>
        </w:rPr>
        <w:t xml:space="preserve">provided, i.e., </w:t>
      </w:r>
      <w:r w:rsidR="00E2544C">
        <w:rPr>
          <w:color w:val="000000"/>
          <w:shd w:val="clear" w:color="auto" w:fill="FFFFFF"/>
        </w:rPr>
        <w:t>LL stands for Li and Lim (2001), BH stands for</w:t>
      </w:r>
      <w:r w:rsidR="00E2544C" w:rsidRPr="00E2544C">
        <w:rPr>
          <w:color w:val="000000"/>
          <w:shd w:val="clear" w:color="auto" w:fill="FFFFFF"/>
        </w:rPr>
        <w:t xml:space="preserve"> Bent and </w:t>
      </w:r>
      <w:proofErr w:type="spellStart"/>
      <w:r w:rsidR="00E2544C" w:rsidRPr="00E2544C">
        <w:rPr>
          <w:color w:val="000000"/>
          <w:shd w:val="clear" w:color="auto" w:fill="FFFFFF"/>
        </w:rPr>
        <w:t>Hentenryck</w:t>
      </w:r>
      <w:proofErr w:type="spellEnd"/>
      <w:r w:rsidR="00E2544C" w:rsidRPr="00E2544C">
        <w:rPr>
          <w:color w:val="000000"/>
          <w:shd w:val="clear" w:color="auto" w:fill="FFFFFF"/>
        </w:rPr>
        <w:t xml:space="preserve"> (2006), S</w:t>
      </w:r>
      <w:r w:rsidR="00E2544C">
        <w:rPr>
          <w:color w:val="000000"/>
          <w:shd w:val="clear" w:color="auto" w:fill="FFFFFF"/>
        </w:rPr>
        <w:t xml:space="preserve">AM stands for the SINTEF heuristic, TS stands for the </w:t>
      </w:r>
      <w:proofErr w:type="spellStart"/>
      <w:r w:rsidR="00E2544C" w:rsidRPr="00E2544C">
        <w:rPr>
          <w:color w:val="000000"/>
          <w:shd w:val="clear" w:color="auto" w:fill="FFFFFF"/>
        </w:rPr>
        <w:t>TetraSoft</w:t>
      </w:r>
      <w:proofErr w:type="spellEnd"/>
      <w:r w:rsidR="00E2544C" w:rsidRPr="00E2544C">
        <w:rPr>
          <w:color w:val="000000"/>
          <w:shd w:val="clear" w:color="auto" w:fill="FFFFFF"/>
        </w:rPr>
        <w:t xml:space="preserve"> A/S heuristic</w:t>
      </w:r>
      <w:r w:rsidR="00E2544C">
        <w:rPr>
          <w:color w:val="000000"/>
          <w:shd w:val="clear" w:color="auto" w:fill="FFFFFF"/>
        </w:rPr>
        <w:t xml:space="preserve">. The second part of the table reports the results obtained by </w:t>
      </w:r>
      <w:proofErr w:type="spellStart"/>
      <w:r w:rsidR="00E2544C" w:rsidRPr="00E2544C">
        <w:rPr>
          <w:color w:val="000000"/>
          <w:shd w:val="clear" w:color="auto" w:fill="FFFFFF"/>
        </w:rPr>
        <w:t>Ropke</w:t>
      </w:r>
      <w:proofErr w:type="spellEnd"/>
      <w:r w:rsidR="00E2544C" w:rsidRPr="00E2544C">
        <w:rPr>
          <w:color w:val="000000"/>
          <w:shd w:val="clear" w:color="auto" w:fill="FFFFFF"/>
        </w:rPr>
        <w:t xml:space="preserve"> and </w:t>
      </w:r>
      <w:proofErr w:type="spellStart"/>
      <w:r w:rsidR="00E2544C" w:rsidRPr="00E2544C">
        <w:rPr>
          <w:color w:val="000000"/>
          <w:shd w:val="clear" w:color="auto" w:fill="FFFFFF"/>
        </w:rPr>
        <w:t>Pisinger</w:t>
      </w:r>
      <w:proofErr w:type="spellEnd"/>
      <w:r w:rsidR="00E2544C" w:rsidRPr="00E2544C">
        <w:rPr>
          <w:color w:val="000000"/>
          <w:shd w:val="clear" w:color="auto" w:fill="FFFFFF"/>
        </w:rPr>
        <w:t xml:space="preserve"> (2006)</w:t>
      </w:r>
      <w:r w:rsidR="00E2544C">
        <w:rPr>
          <w:color w:val="000000"/>
          <w:shd w:val="clear" w:color="auto" w:fill="FFFFFF"/>
        </w:rPr>
        <w:t>, while the third part contains t</w:t>
      </w:r>
      <w:r>
        <w:rPr>
          <w:color w:val="000000"/>
          <w:shd w:val="clear" w:color="auto" w:fill="FFFFFF"/>
        </w:rPr>
        <w:t>he best solution</w:t>
      </w:r>
      <w:r w:rsidR="00E2544C">
        <w:rPr>
          <w:color w:val="000000"/>
          <w:shd w:val="clear" w:color="auto" w:fill="FFFFFF"/>
        </w:rPr>
        <w:t>s</w:t>
      </w:r>
      <w:r>
        <w:rPr>
          <w:color w:val="000000"/>
          <w:shd w:val="clear" w:color="auto" w:fill="FFFFFF"/>
        </w:rPr>
        <w:t xml:space="preserve"> found and the corresponding computational time</w:t>
      </w:r>
      <w:r w:rsidR="00E2544C">
        <w:rPr>
          <w:color w:val="000000"/>
          <w:shd w:val="clear" w:color="auto" w:fill="FFFFFF"/>
        </w:rPr>
        <w:t>s</w:t>
      </w:r>
      <w:r>
        <w:rPr>
          <w:color w:val="000000"/>
          <w:shd w:val="clear" w:color="auto" w:fill="FFFFFF"/>
        </w:rPr>
        <w:t xml:space="preserve"> over 10 simulation runs </w:t>
      </w:r>
      <w:r w:rsidR="00E2544C">
        <w:rPr>
          <w:color w:val="000000"/>
          <w:shd w:val="clear" w:color="auto" w:fill="FFFFFF"/>
        </w:rPr>
        <w:t xml:space="preserve">by our </w:t>
      </w:r>
      <w:r>
        <w:rPr>
          <w:color w:val="000000"/>
          <w:shd w:val="clear" w:color="auto" w:fill="FFFFFF"/>
        </w:rPr>
        <w:t>Tabu Search</w:t>
      </w:r>
      <w:r w:rsidR="00E2544C">
        <w:rPr>
          <w:color w:val="000000"/>
          <w:shd w:val="clear" w:color="auto" w:fill="FFFFFF"/>
        </w:rPr>
        <w:t xml:space="preserve"> </w:t>
      </w:r>
      <w:r w:rsidR="00767927">
        <w:rPr>
          <w:color w:val="000000"/>
          <w:shd w:val="clear" w:color="auto" w:fill="FFFFFF"/>
        </w:rPr>
        <w:t xml:space="preserve">(TS) </w:t>
      </w:r>
      <w:r w:rsidR="00E2544C">
        <w:rPr>
          <w:color w:val="000000"/>
          <w:shd w:val="clear" w:color="auto" w:fill="FFFFFF"/>
        </w:rPr>
        <w:t>algorithm</w:t>
      </w:r>
      <w:r>
        <w:rPr>
          <w:color w:val="000000"/>
          <w:shd w:val="clear" w:color="auto" w:fill="FFFFFF"/>
        </w:rPr>
        <w:t xml:space="preserve">. </w:t>
      </w:r>
      <w:r w:rsidR="00E2544C">
        <w:rPr>
          <w:color w:val="000000"/>
          <w:shd w:val="clear" w:color="auto" w:fill="FFFFFF"/>
        </w:rPr>
        <w:t xml:space="preserve">Note that </w:t>
      </w:r>
      <w:proofErr w:type="spellStart"/>
      <w:r w:rsidR="00E2544C" w:rsidRPr="00E2544C">
        <w:rPr>
          <w:color w:val="000000"/>
          <w:shd w:val="clear" w:color="auto" w:fill="FFFFFF"/>
        </w:rPr>
        <w:t>t</w:t>
      </w:r>
      <w:r w:rsidR="00E2544C" w:rsidRPr="00E2544C">
        <w:rPr>
          <w:color w:val="000000"/>
          <w:shd w:val="clear" w:color="auto" w:fill="FFFFFF"/>
          <w:vertAlign w:val="subscript"/>
        </w:rPr>
        <w:t>sec</w:t>
      </w:r>
      <w:proofErr w:type="spellEnd"/>
      <w:r w:rsidR="00E2544C">
        <w:rPr>
          <w:color w:val="000000"/>
          <w:shd w:val="clear" w:color="auto" w:fill="FFFFFF"/>
        </w:rPr>
        <w:t xml:space="preserve"> refers to the a</w:t>
      </w:r>
      <w:r w:rsidR="00E2544C" w:rsidRPr="00E2544C">
        <w:rPr>
          <w:color w:val="000000"/>
          <w:shd w:val="clear" w:color="auto" w:fill="FFFFFF"/>
        </w:rPr>
        <w:t xml:space="preserve">verage CPU </w:t>
      </w:r>
      <w:r w:rsidR="00E2544C">
        <w:rPr>
          <w:color w:val="000000"/>
          <w:shd w:val="clear" w:color="auto" w:fill="FFFFFF"/>
        </w:rPr>
        <w:t xml:space="preserve">time </w:t>
      </w:r>
      <w:r w:rsidR="00E2544C" w:rsidRPr="00E2544C">
        <w:rPr>
          <w:color w:val="000000"/>
          <w:shd w:val="clear" w:color="auto" w:fill="FFFFFF"/>
        </w:rPr>
        <w:t>needed to perform one experiment</w:t>
      </w:r>
      <w:r w:rsidR="00E2544C">
        <w:rPr>
          <w:color w:val="000000"/>
          <w:shd w:val="clear" w:color="auto" w:fill="FFFFFF"/>
        </w:rPr>
        <w:t xml:space="preserve">, while </w:t>
      </w:r>
      <w:r w:rsidR="00767927">
        <w:rPr>
          <w:color w:val="000000"/>
          <w:shd w:val="clear" w:color="auto" w:fill="FFFFFF"/>
        </w:rPr>
        <w:t>%</w:t>
      </w:r>
      <w:r w:rsidR="00E2544C" w:rsidRPr="00E2544C">
        <w:rPr>
          <w:color w:val="000000"/>
          <w:shd w:val="clear" w:color="auto" w:fill="FFFFFF"/>
        </w:rPr>
        <w:t>gap</w:t>
      </w:r>
      <w:r w:rsidR="00E2544C">
        <w:rPr>
          <w:color w:val="000000"/>
          <w:shd w:val="clear" w:color="auto" w:fill="FFFFFF"/>
        </w:rPr>
        <w:t xml:space="preserve"> refers to the </w:t>
      </w:r>
      <w:r w:rsidR="00767927">
        <w:rPr>
          <w:color w:val="000000"/>
          <w:shd w:val="clear" w:color="auto" w:fill="FFFFFF"/>
        </w:rPr>
        <w:t xml:space="preserve">optimality </w:t>
      </w:r>
      <w:r w:rsidR="00E2544C" w:rsidRPr="00E2544C">
        <w:rPr>
          <w:color w:val="000000"/>
          <w:shd w:val="clear" w:color="auto" w:fill="FFFFFF"/>
        </w:rPr>
        <w:t xml:space="preserve">gap between </w:t>
      </w:r>
      <w:r w:rsidR="00767927">
        <w:rPr>
          <w:color w:val="000000"/>
          <w:shd w:val="clear" w:color="auto" w:fill="FFFFFF"/>
        </w:rPr>
        <w:t xml:space="preserve">the best solutions produced by the TS </w:t>
      </w:r>
      <w:r w:rsidR="00E2544C" w:rsidRPr="00E2544C">
        <w:rPr>
          <w:color w:val="000000"/>
          <w:shd w:val="clear" w:color="auto" w:fill="FFFFFF"/>
        </w:rPr>
        <w:t>and the BKS</w:t>
      </w:r>
      <w:r w:rsidR="00767927">
        <w:rPr>
          <w:color w:val="000000"/>
          <w:shd w:val="clear" w:color="auto" w:fill="FFFFFF"/>
        </w:rPr>
        <w:t>.</w:t>
      </w:r>
      <w:r w:rsidR="005A40B1">
        <w:rPr>
          <w:color w:val="000000"/>
          <w:shd w:val="clear" w:color="auto" w:fill="FFFFFF"/>
        </w:rPr>
        <w:t xml:space="preserve"> Bold face is used to indicate the best overall solutions.</w:t>
      </w:r>
    </w:p>
    <w:p w:rsidR="00767927" w:rsidRDefault="00767927" w:rsidP="00F00EA5">
      <w:pPr>
        <w:autoSpaceDE w:val="0"/>
        <w:autoSpaceDN w:val="0"/>
        <w:adjustRightInd w:val="0"/>
        <w:spacing w:after="0"/>
        <w:ind w:firstLine="720"/>
        <w:jc w:val="both"/>
        <w:rPr>
          <w:color w:val="000000"/>
          <w:shd w:val="clear" w:color="auto" w:fill="FFFFFF"/>
        </w:rPr>
      </w:pPr>
      <w:r>
        <w:rPr>
          <w:color w:val="000000"/>
          <w:shd w:val="clear" w:color="auto" w:fill="FFFFFF"/>
        </w:rPr>
        <w:t>Overall, t</w:t>
      </w:r>
      <w:r w:rsidRPr="004E3AA0">
        <w:rPr>
          <w:color w:val="000000"/>
          <w:shd w:val="clear" w:color="auto" w:fill="FFFFFF"/>
        </w:rPr>
        <w:t xml:space="preserve">he </w:t>
      </w:r>
      <w:r>
        <w:rPr>
          <w:color w:val="000000"/>
          <w:shd w:val="clear" w:color="auto" w:fill="FFFFFF"/>
        </w:rPr>
        <w:t>proposed solution method seems to be very competitive. It matches the best known solution scores for most problem instances (49 out of 56), while for five out of seven instances, it produces solutions with less traveling distance in cases where the minimum number of vehicles is not obtained. It is worth to highlight that m</w:t>
      </w:r>
      <w:r w:rsidRPr="00880A51">
        <w:t xml:space="preserve">ost of </w:t>
      </w:r>
      <w:r>
        <w:t xml:space="preserve">the </w:t>
      </w:r>
      <w:r w:rsidRPr="00880A51">
        <w:t xml:space="preserve">existing approaches applied to this data set (including those of Li and Lim, 2001, </w:t>
      </w:r>
      <w:proofErr w:type="spellStart"/>
      <w:r w:rsidRPr="00880A51">
        <w:t>Ropke</w:t>
      </w:r>
      <w:proofErr w:type="spellEnd"/>
      <w:r w:rsidRPr="00880A51">
        <w:t xml:space="preserve"> and </w:t>
      </w:r>
      <w:proofErr w:type="spellStart"/>
      <w:r w:rsidRPr="00880A51">
        <w:t>Pisinger</w:t>
      </w:r>
      <w:proofErr w:type="spellEnd"/>
      <w:r w:rsidRPr="00880A51">
        <w:t xml:space="preserve">, 2006, Bent and </w:t>
      </w:r>
      <w:proofErr w:type="spellStart"/>
      <w:r w:rsidRPr="00880A51">
        <w:t>Hentenryck</w:t>
      </w:r>
      <w:proofErr w:type="spellEnd"/>
      <w:r w:rsidRPr="00880A51">
        <w:t xml:space="preserve">, 2006) are optimizing a hierarchical objective </w:t>
      </w:r>
      <w:r>
        <w:t>that</w:t>
      </w:r>
      <w:r w:rsidRPr="00880A51">
        <w:t xml:space="preserve"> primarily calls for the minimization of the number of vehicles</w:t>
      </w:r>
      <w:r>
        <w:t>,</w:t>
      </w:r>
      <w:r w:rsidRPr="00880A51">
        <w:t xml:space="preserve"> and secondarily the minimization of the traveled distance. Although our </w:t>
      </w:r>
      <w:r>
        <w:t xml:space="preserve">algorithm </w:t>
      </w:r>
      <w:r w:rsidRPr="00880A51">
        <w:t xml:space="preserve">seeks solely to </w:t>
      </w:r>
      <w:r>
        <w:t>minimize the total routing cost</w:t>
      </w:r>
      <w:r w:rsidRPr="00880A51">
        <w:t xml:space="preserve">, it is reasonable to expect that </w:t>
      </w:r>
      <w:r>
        <w:t xml:space="preserve">for some problems </w:t>
      </w:r>
      <w:r w:rsidRPr="00880A51">
        <w:t>the minimization of the routing cost indirectly minim</w:t>
      </w:r>
      <w:r>
        <w:t>izes the number of vehicles</w:t>
      </w:r>
      <w:r w:rsidRPr="00880A51">
        <w:t>.</w:t>
      </w:r>
      <w:r>
        <w:t xml:space="preserve"> </w:t>
      </w:r>
      <w:r>
        <w:rPr>
          <w:color w:val="000000"/>
          <w:shd w:val="clear" w:color="auto" w:fill="FFFFFF"/>
        </w:rPr>
        <w:t>For the two cases where TS gives a worse solution compared to the BKS, the gap is less than 0.96%.</w:t>
      </w:r>
    </w:p>
    <w:p w:rsidR="00767927" w:rsidRDefault="00767927" w:rsidP="00F00EA5">
      <w:pPr>
        <w:autoSpaceDE w:val="0"/>
        <w:autoSpaceDN w:val="0"/>
        <w:adjustRightInd w:val="0"/>
        <w:spacing w:after="0"/>
        <w:ind w:firstLine="720"/>
        <w:jc w:val="both"/>
        <w:rPr>
          <w:shd w:val="clear" w:color="auto" w:fill="FFFFFF"/>
        </w:rPr>
      </w:pPr>
      <w:bookmarkStart w:id="217" w:name="OLE_LINK574"/>
      <w:bookmarkStart w:id="218" w:name="OLE_LINK575"/>
      <w:r>
        <w:rPr>
          <w:color w:val="000000"/>
          <w:shd w:val="clear" w:color="auto" w:fill="FFFFFF"/>
        </w:rPr>
        <w:t xml:space="preserve">For </w:t>
      </w:r>
      <w:r w:rsidRPr="00E81FD0">
        <w:rPr>
          <w:color w:val="000000"/>
          <w:shd w:val="clear" w:color="auto" w:fill="FFFFFF"/>
        </w:rPr>
        <w:t xml:space="preserve">the </w:t>
      </w:r>
      <w:r w:rsidRPr="00CD7C25">
        <w:rPr>
          <w:shd w:val="clear" w:color="auto" w:fill="FFFFFF"/>
        </w:rPr>
        <w:t xml:space="preserve">VRPCD, the benchmark data set of </w:t>
      </w:r>
      <w:proofErr w:type="spellStart"/>
      <w:r w:rsidRPr="00CD7C25">
        <w:rPr>
          <w:shd w:val="clear" w:color="auto" w:fill="FFFFFF"/>
        </w:rPr>
        <w:t>Wen</w:t>
      </w:r>
      <w:proofErr w:type="spellEnd"/>
      <w:r w:rsidRPr="00CD7C25">
        <w:rPr>
          <w:shd w:val="clear" w:color="auto" w:fill="FFFFFF"/>
        </w:rPr>
        <w:t xml:space="preserve"> et al. </w:t>
      </w:r>
      <w:r>
        <w:rPr>
          <w:shd w:val="clear" w:color="auto" w:fill="FFFFFF"/>
        </w:rPr>
        <w:t>(2009)</w:t>
      </w:r>
      <w:r w:rsidRPr="00CD7C25">
        <w:rPr>
          <w:shd w:val="clear" w:color="auto" w:fill="FFFFFF"/>
        </w:rPr>
        <w:t xml:space="preserve"> is</w:t>
      </w:r>
      <w:r>
        <w:rPr>
          <w:shd w:val="clear" w:color="auto" w:fill="FFFFFF"/>
        </w:rPr>
        <w:t xml:space="preserve"> used</w:t>
      </w:r>
      <w:r w:rsidRPr="00CD7C25">
        <w:rPr>
          <w:shd w:val="clear" w:color="auto" w:fill="FFFFFF"/>
        </w:rPr>
        <w:t>.</w:t>
      </w:r>
      <w:bookmarkEnd w:id="217"/>
      <w:bookmarkEnd w:id="218"/>
      <w:r>
        <w:rPr>
          <w:shd w:val="clear" w:color="auto" w:fill="FFFFFF"/>
        </w:rPr>
        <w:t xml:space="preserve"> Compared to the basic VRPCD </w:t>
      </w:r>
      <w:r w:rsidR="003936A4">
        <w:rPr>
          <w:shd w:val="clear" w:color="auto" w:fill="FFFFFF"/>
        </w:rPr>
        <w:t xml:space="preserve">previously </w:t>
      </w:r>
      <w:r>
        <w:rPr>
          <w:shd w:val="clear" w:color="auto" w:fill="FFFFFF"/>
        </w:rPr>
        <w:t xml:space="preserve">described, these instances </w:t>
      </w:r>
      <w:r w:rsidRPr="00CD7C25">
        <w:rPr>
          <w:shd w:val="clear" w:color="auto" w:fill="FFFFFF"/>
        </w:rPr>
        <w:t xml:space="preserve">consider </w:t>
      </w:r>
      <w:bookmarkStart w:id="219" w:name="OLE_LINK670"/>
      <w:bookmarkStart w:id="220" w:name="OLE_LINK671"/>
      <w:bookmarkStart w:id="221" w:name="OLE_LINK672"/>
      <w:r w:rsidRPr="00CD7C25">
        <w:rPr>
          <w:shd w:val="clear" w:color="auto" w:fill="FFFFFF"/>
        </w:rPr>
        <w:t>variable time</w:t>
      </w:r>
      <w:r>
        <w:rPr>
          <w:shd w:val="clear" w:color="auto" w:fill="FFFFFF"/>
        </w:rPr>
        <w:t>s</w:t>
      </w:r>
      <w:r w:rsidRPr="00CD7C25">
        <w:rPr>
          <w:shd w:val="clear" w:color="auto" w:fill="FFFFFF"/>
        </w:rPr>
        <w:t xml:space="preserve"> for the unloading and loading </w:t>
      </w:r>
      <w:r>
        <w:rPr>
          <w:shd w:val="clear" w:color="auto" w:fill="FFFFFF"/>
        </w:rPr>
        <w:t>operations</w:t>
      </w:r>
      <w:r w:rsidRPr="00CD7C25">
        <w:rPr>
          <w:shd w:val="clear" w:color="auto" w:fill="FFFFFF"/>
        </w:rPr>
        <w:t xml:space="preserve"> at the </w:t>
      </w:r>
      <w:bookmarkEnd w:id="219"/>
      <w:bookmarkEnd w:id="220"/>
      <w:bookmarkEnd w:id="221"/>
      <w:r w:rsidRPr="0097398B">
        <w:rPr>
          <w:rFonts w:cs="Times New Roman"/>
          <w:szCs w:val="24"/>
        </w:rPr>
        <w:t>cross</w:t>
      </w:r>
      <w:r>
        <w:rPr>
          <w:rFonts w:cs="Times New Roman"/>
          <w:szCs w:val="24"/>
        </w:rPr>
        <w:t>-</w:t>
      </w:r>
      <w:r w:rsidRPr="0097398B">
        <w:rPr>
          <w:rFonts w:cs="Times New Roman"/>
          <w:szCs w:val="24"/>
        </w:rPr>
        <w:t xml:space="preserve">dock </w:t>
      </w:r>
      <w:r>
        <w:rPr>
          <w:shd w:val="clear" w:color="auto" w:fill="FFFFFF"/>
        </w:rPr>
        <w:t>and time windows for both suppliers and customers. We have extended our algorithm to take into account these operational realties. In an effort to provide a fair basis for comparison</w:t>
      </w:r>
      <w:r w:rsidR="00B471B9">
        <w:rPr>
          <w:shd w:val="clear" w:color="auto" w:fill="FFFFFF"/>
        </w:rPr>
        <w:t>s</w:t>
      </w:r>
      <w:r>
        <w:rPr>
          <w:shd w:val="clear" w:color="auto" w:fill="FFFFFF"/>
        </w:rPr>
        <w:t>, w</w:t>
      </w:r>
      <w:r w:rsidRPr="00CD7C25">
        <w:rPr>
          <w:shd w:val="clear" w:color="auto" w:fill="FFFFFF"/>
        </w:rPr>
        <w:t xml:space="preserve">e </w:t>
      </w:r>
      <w:r w:rsidR="00B471B9">
        <w:rPr>
          <w:shd w:val="clear" w:color="auto" w:fill="FFFFFF"/>
        </w:rPr>
        <w:t xml:space="preserve">consider only </w:t>
      </w:r>
      <w:r>
        <w:rPr>
          <w:shd w:val="clear" w:color="auto" w:fill="FFFFFF"/>
        </w:rPr>
        <w:t xml:space="preserve">the so-called </w:t>
      </w:r>
      <w:r w:rsidRPr="00CD7C25">
        <w:rPr>
          <w:shd w:val="clear" w:color="auto" w:fill="FFFFFF"/>
        </w:rPr>
        <w:t xml:space="preserve">scenario CS1 as presented by </w:t>
      </w:r>
      <w:proofErr w:type="spellStart"/>
      <w:r w:rsidRPr="00CD7C25">
        <w:rPr>
          <w:shd w:val="clear" w:color="auto" w:fill="FFFFFF"/>
        </w:rPr>
        <w:t>Tarantilis</w:t>
      </w:r>
      <w:proofErr w:type="spellEnd"/>
      <w:r w:rsidRPr="00CD7C25">
        <w:rPr>
          <w:shd w:val="clear" w:color="auto" w:fill="FFFFFF"/>
        </w:rPr>
        <w:t xml:space="preserve"> </w:t>
      </w:r>
      <w:r>
        <w:rPr>
          <w:shd w:val="clear" w:color="auto" w:fill="FFFFFF"/>
        </w:rPr>
        <w:t>(2013)</w:t>
      </w:r>
      <w:r w:rsidRPr="00CD7C25">
        <w:rPr>
          <w:shd w:val="clear" w:color="auto" w:fill="FFFFFF"/>
        </w:rPr>
        <w:t>.</w:t>
      </w:r>
      <w:r>
        <w:rPr>
          <w:shd w:val="clear" w:color="auto" w:fill="FFFFFF"/>
        </w:rPr>
        <w:t xml:space="preserve"> </w:t>
      </w:r>
      <w:r w:rsidRPr="00CD7C25">
        <w:rPr>
          <w:shd w:val="clear" w:color="auto" w:fill="FFFFFF"/>
        </w:rPr>
        <w:t>This scenario assumes that the same vehicle fleet is used for both pickup</w:t>
      </w:r>
      <w:r>
        <w:rPr>
          <w:shd w:val="clear" w:color="auto" w:fill="FFFFFF"/>
        </w:rPr>
        <w:t xml:space="preserve"> </w:t>
      </w:r>
      <w:r w:rsidRPr="00CD7C25">
        <w:rPr>
          <w:shd w:val="clear" w:color="auto" w:fill="FFFFFF"/>
        </w:rPr>
        <w:t>and delivery routes.</w:t>
      </w:r>
      <w:r>
        <w:rPr>
          <w:shd w:val="clear" w:color="auto" w:fill="FFFFFF"/>
        </w:rPr>
        <w:t xml:space="preserve"> Thus, synchronization constraints are imposed on vehicle routes to ensure that all products to be loaded into delivery vehicles are already available at the </w:t>
      </w:r>
      <w:r w:rsidRPr="0097398B">
        <w:rPr>
          <w:rFonts w:cs="Times New Roman"/>
          <w:szCs w:val="24"/>
        </w:rPr>
        <w:t>cross</w:t>
      </w:r>
      <w:r>
        <w:rPr>
          <w:rFonts w:cs="Times New Roman"/>
          <w:szCs w:val="24"/>
        </w:rPr>
        <w:t>-</w:t>
      </w:r>
      <w:r w:rsidRPr="0097398B">
        <w:rPr>
          <w:rFonts w:cs="Times New Roman"/>
          <w:szCs w:val="24"/>
        </w:rPr>
        <w:t>dock</w:t>
      </w:r>
      <w:r>
        <w:rPr>
          <w:shd w:val="clear" w:color="auto" w:fill="FFFFFF"/>
        </w:rPr>
        <w:t>.</w:t>
      </w:r>
      <w:r w:rsidRPr="00CD7C25">
        <w:rPr>
          <w:shd w:val="clear" w:color="auto" w:fill="FFFFFF"/>
        </w:rPr>
        <w:t xml:space="preserve"> </w:t>
      </w:r>
    </w:p>
    <w:p w:rsidR="00E00EFD" w:rsidRDefault="00E00EFD" w:rsidP="00F00EA5">
      <w:pPr>
        <w:autoSpaceDE w:val="0"/>
        <w:autoSpaceDN w:val="0"/>
        <w:adjustRightInd w:val="0"/>
        <w:spacing w:after="0"/>
        <w:ind w:firstLine="720"/>
        <w:jc w:val="both"/>
        <w:rPr>
          <w:shd w:val="clear" w:color="auto" w:fill="FFFFFF"/>
        </w:rPr>
      </w:pPr>
    </w:p>
    <w:p w:rsidR="00E00EFD" w:rsidRDefault="00E00EFD" w:rsidP="00F00EA5">
      <w:pPr>
        <w:autoSpaceDE w:val="0"/>
        <w:autoSpaceDN w:val="0"/>
        <w:adjustRightInd w:val="0"/>
        <w:spacing w:after="0"/>
        <w:ind w:firstLine="720"/>
        <w:jc w:val="both"/>
        <w:rPr>
          <w:shd w:val="clear" w:color="auto" w:fill="FFFFFF"/>
        </w:rPr>
      </w:pPr>
    </w:p>
    <w:p w:rsidR="00F722F5" w:rsidRDefault="00F722F5" w:rsidP="00F00EA5">
      <w:pPr>
        <w:autoSpaceDE w:val="0"/>
        <w:autoSpaceDN w:val="0"/>
        <w:adjustRightInd w:val="0"/>
        <w:spacing w:after="0"/>
        <w:ind w:firstLine="720"/>
        <w:jc w:val="both"/>
        <w:rPr>
          <w:shd w:val="clear" w:color="auto" w:fill="FFFFFF"/>
        </w:rPr>
      </w:pPr>
    </w:p>
    <w:p w:rsidR="00F722F5" w:rsidRDefault="00F722F5" w:rsidP="00F00EA5">
      <w:pPr>
        <w:autoSpaceDE w:val="0"/>
        <w:autoSpaceDN w:val="0"/>
        <w:adjustRightInd w:val="0"/>
        <w:spacing w:after="0"/>
        <w:ind w:firstLine="720"/>
        <w:jc w:val="both"/>
        <w:rPr>
          <w:shd w:val="clear" w:color="auto" w:fill="FFFFFF"/>
        </w:rPr>
      </w:pPr>
    </w:p>
    <w:p w:rsidR="00F722F5" w:rsidRDefault="00F722F5" w:rsidP="00F00EA5">
      <w:pPr>
        <w:autoSpaceDE w:val="0"/>
        <w:autoSpaceDN w:val="0"/>
        <w:adjustRightInd w:val="0"/>
        <w:spacing w:after="0"/>
        <w:ind w:firstLine="720"/>
        <w:jc w:val="both"/>
        <w:rPr>
          <w:shd w:val="clear" w:color="auto" w:fill="FFFFFF"/>
        </w:rPr>
      </w:pPr>
    </w:p>
    <w:p w:rsidR="00F722F5" w:rsidRDefault="00F722F5" w:rsidP="00F00EA5">
      <w:pPr>
        <w:autoSpaceDE w:val="0"/>
        <w:autoSpaceDN w:val="0"/>
        <w:adjustRightInd w:val="0"/>
        <w:spacing w:after="0"/>
        <w:ind w:firstLine="720"/>
        <w:jc w:val="both"/>
        <w:rPr>
          <w:shd w:val="clear" w:color="auto" w:fill="FFFFFF"/>
        </w:rPr>
      </w:pPr>
    </w:p>
    <w:p w:rsidR="00F722F5" w:rsidRDefault="00F722F5" w:rsidP="00F00EA5">
      <w:pPr>
        <w:autoSpaceDE w:val="0"/>
        <w:autoSpaceDN w:val="0"/>
        <w:adjustRightInd w:val="0"/>
        <w:spacing w:after="0"/>
        <w:ind w:firstLine="720"/>
        <w:jc w:val="both"/>
        <w:rPr>
          <w:shd w:val="clear" w:color="auto" w:fill="FFFFFF"/>
        </w:rPr>
      </w:pPr>
    </w:p>
    <w:p w:rsidR="00F722F5" w:rsidRPr="00E00EFD" w:rsidRDefault="00F722F5" w:rsidP="00F00EA5">
      <w:pPr>
        <w:autoSpaceDE w:val="0"/>
        <w:autoSpaceDN w:val="0"/>
        <w:adjustRightInd w:val="0"/>
        <w:spacing w:after="0"/>
        <w:ind w:firstLine="720"/>
        <w:jc w:val="both"/>
        <w:rPr>
          <w:shd w:val="clear" w:color="auto" w:fill="FFFFFF"/>
        </w:rPr>
      </w:pPr>
    </w:p>
    <w:p w:rsidR="00E00EFD" w:rsidRPr="009D2F4F" w:rsidRDefault="00E00EFD" w:rsidP="00767927">
      <w:pPr>
        <w:autoSpaceDE w:val="0"/>
        <w:autoSpaceDN w:val="0"/>
        <w:adjustRightInd w:val="0"/>
        <w:spacing w:after="0"/>
        <w:jc w:val="both"/>
        <w:rPr>
          <w:b/>
          <w:color w:val="000000"/>
          <w:sz w:val="20"/>
          <w:szCs w:val="16"/>
          <w:shd w:val="clear" w:color="auto" w:fill="FFFFFF"/>
        </w:rPr>
      </w:pPr>
      <w:proofErr w:type="gramStart"/>
      <w:r w:rsidRPr="00A54E24">
        <w:rPr>
          <w:b/>
          <w:color w:val="000000"/>
          <w:sz w:val="20"/>
          <w:szCs w:val="16"/>
          <w:shd w:val="clear" w:color="auto" w:fill="FFFFFF"/>
        </w:rPr>
        <w:lastRenderedPageBreak/>
        <w:t xml:space="preserve">Table </w:t>
      </w:r>
      <w:r>
        <w:rPr>
          <w:b/>
          <w:color w:val="000000"/>
          <w:sz w:val="20"/>
          <w:szCs w:val="16"/>
          <w:shd w:val="clear" w:color="auto" w:fill="FFFFFF"/>
        </w:rPr>
        <w:t>1</w:t>
      </w:r>
      <w:r w:rsidRPr="00A54E24">
        <w:rPr>
          <w:b/>
          <w:color w:val="000000"/>
          <w:sz w:val="20"/>
          <w:szCs w:val="16"/>
          <w:shd w:val="clear" w:color="auto" w:fill="FFFFFF"/>
        </w:rPr>
        <w:t>.</w:t>
      </w:r>
      <w:proofErr w:type="gramEnd"/>
      <w:r w:rsidRPr="00A54E24">
        <w:rPr>
          <w:b/>
          <w:color w:val="000000"/>
          <w:sz w:val="20"/>
          <w:szCs w:val="16"/>
          <w:shd w:val="clear" w:color="auto" w:fill="FFFFFF"/>
        </w:rPr>
        <w:t xml:space="preserve"> Detailed results on Li and Lim (2001) Data Set for the PDP – 100 Customers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43"/>
        <w:gridCol w:w="960"/>
        <w:gridCol w:w="827"/>
        <w:gridCol w:w="552"/>
        <w:gridCol w:w="253"/>
        <w:gridCol w:w="624"/>
        <w:gridCol w:w="1073"/>
        <w:gridCol w:w="626"/>
        <w:gridCol w:w="358"/>
        <w:gridCol w:w="460"/>
        <w:gridCol w:w="984"/>
        <w:gridCol w:w="90"/>
        <w:gridCol w:w="806"/>
        <w:gridCol w:w="804"/>
      </w:tblGrid>
      <w:tr w:rsidR="003A6FF2" w:rsidRPr="00A54E24" w:rsidTr="00E00EFD">
        <w:tc>
          <w:tcPr>
            <w:tcW w:w="478" w:type="pct"/>
            <w:tcBorders>
              <w:top w:val="single" w:sz="4" w:space="0" w:color="auto"/>
              <w:bottom w:val="single" w:sz="4" w:space="0" w:color="auto"/>
            </w:tcBorders>
          </w:tcPr>
          <w:p w:rsidR="003A6FF2" w:rsidRPr="00A54E24" w:rsidRDefault="003A6FF2" w:rsidP="00E82628">
            <w:pPr>
              <w:autoSpaceDE w:val="0"/>
              <w:autoSpaceDN w:val="0"/>
              <w:adjustRightInd w:val="0"/>
              <w:jc w:val="both"/>
              <w:rPr>
                <w:b/>
                <w:color w:val="000000"/>
                <w:sz w:val="18"/>
                <w:szCs w:val="16"/>
                <w:shd w:val="clear" w:color="auto" w:fill="FFFFFF"/>
              </w:rPr>
            </w:pPr>
          </w:p>
        </w:tc>
        <w:tc>
          <w:tcPr>
            <w:tcW w:w="127" w:type="pct"/>
            <w:tcBorders>
              <w:top w:val="single" w:sz="4" w:space="0" w:color="auto"/>
            </w:tcBorders>
          </w:tcPr>
          <w:p w:rsidR="003A6FF2" w:rsidRPr="00A54E24" w:rsidRDefault="003A6FF2" w:rsidP="00E82628">
            <w:pPr>
              <w:autoSpaceDE w:val="0"/>
              <w:autoSpaceDN w:val="0"/>
              <w:adjustRightInd w:val="0"/>
              <w:jc w:val="both"/>
              <w:rPr>
                <w:b/>
                <w:color w:val="000000"/>
                <w:sz w:val="18"/>
                <w:szCs w:val="16"/>
                <w:shd w:val="clear" w:color="auto" w:fill="FFFFFF"/>
              </w:rPr>
            </w:pPr>
          </w:p>
        </w:tc>
        <w:tc>
          <w:tcPr>
            <w:tcW w:w="1221" w:type="pct"/>
            <w:gridSpan w:val="3"/>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r w:rsidRPr="00A54E24">
              <w:rPr>
                <w:rFonts w:ascii="Calibri" w:eastAsia="Times New Roman" w:hAnsi="Calibri" w:cs="Times New Roman"/>
                <w:b/>
                <w:color w:val="000000"/>
                <w:sz w:val="18"/>
                <w:szCs w:val="16"/>
              </w:rPr>
              <w:t>BKS</w:t>
            </w:r>
          </w:p>
        </w:tc>
        <w:tc>
          <w:tcPr>
            <w:tcW w:w="132" w:type="pct"/>
            <w:tcBorders>
              <w:top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
        </w:tc>
        <w:tc>
          <w:tcPr>
            <w:tcW w:w="1213" w:type="pct"/>
            <w:gridSpan w:val="3"/>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roofErr w:type="spellStart"/>
            <w:r>
              <w:rPr>
                <w:b/>
                <w:color w:val="000000"/>
                <w:sz w:val="18"/>
                <w:szCs w:val="16"/>
                <w:shd w:val="clear" w:color="auto" w:fill="FFFFFF"/>
              </w:rPr>
              <w:t>Ropke</w:t>
            </w:r>
            <w:proofErr w:type="spellEnd"/>
            <w:r>
              <w:rPr>
                <w:b/>
                <w:color w:val="000000"/>
                <w:sz w:val="18"/>
                <w:szCs w:val="16"/>
                <w:shd w:val="clear" w:color="auto" w:fill="FFFFFF"/>
              </w:rPr>
              <w:t xml:space="preserve"> and </w:t>
            </w:r>
            <w:proofErr w:type="spellStart"/>
            <w:r>
              <w:rPr>
                <w:b/>
                <w:color w:val="000000"/>
                <w:sz w:val="18"/>
                <w:szCs w:val="16"/>
                <w:shd w:val="clear" w:color="auto" w:fill="FFFFFF"/>
              </w:rPr>
              <w:t>Pisinger</w:t>
            </w:r>
            <w:proofErr w:type="spellEnd"/>
            <w:r>
              <w:rPr>
                <w:b/>
                <w:color w:val="000000"/>
                <w:sz w:val="18"/>
                <w:szCs w:val="16"/>
                <w:shd w:val="clear" w:color="auto" w:fill="FFFFFF"/>
              </w:rPr>
              <w:t xml:space="preserve"> (</w:t>
            </w:r>
            <w:r>
              <w:rPr>
                <w:b/>
                <w:color w:val="000000"/>
                <w:sz w:val="18"/>
                <w:szCs w:val="16"/>
                <w:shd w:val="clear" w:color="auto" w:fill="FFFFFF"/>
                <w:lang w:val="el-GR"/>
              </w:rPr>
              <w:t>2</w:t>
            </w:r>
            <w:r>
              <w:rPr>
                <w:b/>
                <w:color w:val="000000"/>
                <w:sz w:val="18"/>
                <w:szCs w:val="16"/>
                <w:shd w:val="clear" w:color="auto" w:fill="FFFFFF"/>
              </w:rPr>
              <w:t>006)</w:t>
            </w:r>
          </w:p>
        </w:tc>
        <w:tc>
          <w:tcPr>
            <w:tcW w:w="187" w:type="pct"/>
            <w:tcBorders>
              <w:top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
        </w:tc>
        <w:tc>
          <w:tcPr>
            <w:tcW w:w="1222" w:type="pct"/>
            <w:gridSpan w:val="4"/>
            <w:tcBorders>
              <w:top w:val="single" w:sz="4" w:space="0" w:color="auto"/>
              <w:bottom w:val="single" w:sz="4" w:space="0" w:color="auto"/>
            </w:tcBorders>
          </w:tcPr>
          <w:p w:rsidR="003A6FF2" w:rsidRPr="00A54E24" w:rsidRDefault="00767927" w:rsidP="000978C7">
            <w:pPr>
              <w:autoSpaceDE w:val="0"/>
              <w:autoSpaceDN w:val="0"/>
              <w:adjustRightInd w:val="0"/>
              <w:jc w:val="center"/>
              <w:rPr>
                <w:b/>
                <w:color w:val="000000"/>
                <w:sz w:val="18"/>
                <w:szCs w:val="16"/>
                <w:shd w:val="clear" w:color="auto" w:fill="FFFFFF"/>
              </w:rPr>
            </w:pPr>
            <w:r>
              <w:rPr>
                <w:b/>
                <w:color w:val="000000"/>
                <w:sz w:val="18"/>
                <w:szCs w:val="16"/>
                <w:shd w:val="clear" w:color="auto" w:fill="FFFFFF"/>
              </w:rPr>
              <w:t>TS</w:t>
            </w:r>
          </w:p>
        </w:tc>
        <w:tc>
          <w:tcPr>
            <w:tcW w:w="420" w:type="pct"/>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
        </w:tc>
      </w:tr>
      <w:tr w:rsidR="003A6FF2" w:rsidRPr="00A54E24" w:rsidTr="00E00EFD">
        <w:tc>
          <w:tcPr>
            <w:tcW w:w="478" w:type="pct"/>
            <w:tcBorders>
              <w:top w:val="single" w:sz="4" w:space="0" w:color="auto"/>
              <w:bottom w:val="single" w:sz="4" w:space="0" w:color="auto"/>
            </w:tcBorders>
          </w:tcPr>
          <w:p w:rsidR="003A6FF2" w:rsidRPr="00A54E24" w:rsidRDefault="00A93A1A" w:rsidP="00E82628">
            <w:pPr>
              <w:autoSpaceDE w:val="0"/>
              <w:autoSpaceDN w:val="0"/>
              <w:adjustRightInd w:val="0"/>
              <w:jc w:val="both"/>
              <w:rPr>
                <w:b/>
                <w:color w:val="000000"/>
                <w:sz w:val="18"/>
                <w:szCs w:val="16"/>
                <w:shd w:val="clear" w:color="auto" w:fill="FFFFFF"/>
              </w:rPr>
            </w:pPr>
            <w:r>
              <w:rPr>
                <w:b/>
                <w:color w:val="000000"/>
                <w:sz w:val="18"/>
                <w:szCs w:val="16"/>
                <w:shd w:val="clear" w:color="auto" w:fill="FFFFFF"/>
              </w:rPr>
              <w:t>Instance</w:t>
            </w:r>
          </w:p>
        </w:tc>
        <w:tc>
          <w:tcPr>
            <w:tcW w:w="127" w:type="pct"/>
          </w:tcPr>
          <w:p w:rsidR="003A6FF2" w:rsidRPr="00A54E24" w:rsidRDefault="003A6FF2" w:rsidP="00E82628">
            <w:pPr>
              <w:autoSpaceDE w:val="0"/>
              <w:autoSpaceDN w:val="0"/>
              <w:adjustRightInd w:val="0"/>
              <w:jc w:val="both"/>
              <w:rPr>
                <w:b/>
                <w:color w:val="000000"/>
                <w:sz w:val="18"/>
                <w:szCs w:val="16"/>
                <w:shd w:val="clear" w:color="auto" w:fill="FFFFFF"/>
              </w:rPr>
            </w:pPr>
          </w:p>
        </w:tc>
        <w:tc>
          <w:tcPr>
            <w:tcW w:w="501" w:type="pct"/>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k</w:t>
            </w:r>
          </w:p>
        </w:tc>
        <w:tc>
          <w:tcPr>
            <w:tcW w:w="432" w:type="pct"/>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z</w:t>
            </w:r>
          </w:p>
        </w:tc>
        <w:tc>
          <w:tcPr>
            <w:tcW w:w="288" w:type="pct"/>
            <w:tcBorders>
              <w:top w:val="single" w:sz="4" w:space="0" w:color="auto"/>
              <w:bottom w:val="single" w:sz="4" w:space="0" w:color="auto"/>
            </w:tcBorders>
            <w:vAlign w:val="bottom"/>
          </w:tcPr>
          <w:p w:rsidR="003A6FF2" w:rsidRPr="00A54E24" w:rsidRDefault="003A6FF2" w:rsidP="000978C7">
            <w:pPr>
              <w:jc w:val="center"/>
              <w:rPr>
                <w:rFonts w:ascii="Calibri" w:hAnsi="Calibri"/>
                <w:b/>
                <w:color w:val="000000"/>
                <w:sz w:val="18"/>
                <w:szCs w:val="16"/>
              </w:rPr>
            </w:pPr>
            <w:r>
              <w:rPr>
                <w:rFonts w:ascii="Calibri" w:hAnsi="Calibri"/>
                <w:b/>
                <w:color w:val="000000"/>
                <w:sz w:val="18"/>
                <w:szCs w:val="16"/>
              </w:rPr>
              <w:t>Ref</w:t>
            </w:r>
          </w:p>
        </w:tc>
        <w:tc>
          <w:tcPr>
            <w:tcW w:w="132" w:type="pct"/>
          </w:tcPr>
          <w:p w:rsidR="003A6FF2" w:rsidRPr="00A54E24" w:rsidRDefault="003A6FF2" w:rsidP="000978C7">
            <w:pPr>
              <w:autoSpaceDE w:val="0"/>
              <w:autoSpaceDN w:val="0"/>
              <w:adjustRightInd w:val="0"/>
              <w:jc w:val="center"/>
              <w:rPr>
                <w:b/>
                <w:color w:val="000000"/>
                <w:sz w:val="18"/>
                <w:szCs w:val="16"/>
                <w:shd w:val="clear" w:color="auto" w:fill="FFFFFF"/>
              </w:rPr>
            </w:pPr>
          </w:p>
        </w:tc>
        <w:tc>
          <w:tcPr>
            <w:tcW w:w="326" w:type="pct"/>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k</w:t>
            </w:r>
          </w:p>
        </w:tc>
        <w:tc>
          <w:tcPr>
            <w:tcW w:w="560" w:type="pct"/>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z</w:t>
            </w:r>
          </w:p>
        </w:tc>
        <w:tc>
          <w:tcPr>
            <w:tcW w:w="326" w:type="pct"/>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roofErr w:type="spellStart"/>
            <w:r w:rsidRPr="00A54E24">
              <w:rPr>
                <w:b/>
                <w:color w:val="000000"/>
                <w:sz w:val="18"/>
                <w:szCs w:val="16"/>
                <w:shd w:val="clear" w:color="auto" w:fill="FFFFFF"/>
              </w:rPr>
              <w:t>t</w:t>
            </w:r>
            <w:r w:rsidRPr="00DD2039">
              <w:rPr>
                <w:b/>
                <w:color w:val="000000"/>
                <w:sz w:val="18"/>
                <w:szCs w:val="16"/>
                <w:shd w:val="clear" w:color="auto" w:fill="FFFFFF"/>
                <w:vertAlign w:val="subscript"/>
              </w:rPr>
              <w:t>sec</w:t>
            </w:r>
            <w:proofErr w:type="spellEnd"/>
          </w:p>
        </w:tc>
        <w:tc>
          <w:tcPr>
            <w:tcW w:w="187" w:type="pct"/>
          </w:tcPr>
          <w:p w:rsidR="003A6FF2" w:rsidRPr="00A54E24" w:rsidRDefault="003A6FF2" w:rsidP="000978C7">
            <w:pPr>
              <w:autoSpaceDE w:val="0"/>
              <w:autoSpaceDN w:val="0"/>
              <w:adjustRightInd w:val="0"/>
              <w:jc w:val="center"/>
              <w:rPr>
                <w:b/>
                <w:color w:val="000000"/>
                <w:sz w:val="18"/>
                <w:szCs w:val="16"/>
                <w:shd w:val="clear" w:color="auto" w:fill="FFFFFF"/>
              </w:rPr>
            </w:pPr>
          </w:p>
        </w:tc>
        <w:tc>
          <w:tcPr>
            <w:tcW w:w="240" w:type="pct"/>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k</w:t>
            </w:r>
          </w:p>
        </w:tc>
        <w:tc>
          <w:tcPr>
            <w:tcW w:w="561" w:type="pct"/>
            <w:gridSpan w:val="2"/>
            <w:tcBorders>
              <w:top w:val="single" w:sz="4" w:space="0" w:color="auto"/>
              <w:bottom w:val="single" w:sz="4" w:space="0" w:color="auto"/>
            </w:tcBorders>
          </w:tcPr>
          <w:p w:rsidR="003A6FF2" w:rsidRPr="00A54E24" w:rsidRDefault="003A6FF2" w:rsidP="000978C7">
            <w:pPr>
              <w:jc w:val="center"/>
              <w:rPr>
                <w:rFonts w:ascii="Calibri" w:eastAsia="Times New Roman" w:hAnsi="Calibri" w:cs="Times New Roman"/>
                <w:b/>
                <w:color w:val="000000"/>
                <w:sz w:val="18"/>
                <w:szCs w:val="16"/>
              </w:rPr>
            </w:pPr>
            <w:r w:rsidRPr="00A54E24">
              <w:rPr>
                <w:rFonts w:ascii="Calibri" w:eastAsia="Times New Roman" w:hAnsi="Calibri" w:cs="Times New Roman"/>
                <w:b/>
                <w:color w:val="000000"/>
                <w:sz w:val="18"/>
                <w:szCs w:val="16"/>
              </w:rPr>
              <w:t>z</w:t>
            </w:r>
          </w:p>
        </w:tc>
        <w:tc>
          <w:tcPr>
            <w:tcW w:w="421" w:type="pct"/>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proofErr w:type="spellStart"/>
            <w:r w:rsidRPr="00A54E24">
              <w:rPr>
                <w:b/>
                <w:color w:val="000000"/>
                <w:sz w:val="18"/>
                <w:szCs w:val="16"/>
                <w:shd w:val="clear" w:color="auto" w:fill="FFFFFF"/>
              </w:rPr>
              <w:t>t</w:t>
            </w:r>
            <w:r w:rsidRPr="00DD2039">
              <w:rPr>
                <w:b/>
                <w:color w:val="000000"/>
                <w:sz w:val="18"/>
                <w:szCs w:val="16"/>
                <w:shd w:val="clear" w:color="auto" w:fill="FFFFFF"/>
                <w:vertAlign w:val="subscript"/>
              </w:rPr>
              <w:t>sec</w:t>
            </w:r>
            <w:proofErr w:type="spellEnd"/>
          </w:p>
        </w:tc>
        <w:tc>
          <w:tcPr>
            <w:tcW w:w="420" w:type="pct"/>
            <w:tcBorders>
              <w:top w:val="single" w:sz="4" w:space="0" w:color="auto"/>
              <w:bottom w:val="single" w:sz="4" w:space="0" w:color="auto"/>
            </w:tcBorders>
          </w:tcPr>
          <w:p w:rsidR="003A6FF2" w:rsidRPr="00A54E24" w:rsidRDefault="003A6FF2" w:rsidP="000978C7">
            <w:pPr>
              <w:autoSpaceDE w:val="0"/>
              <w:autoSpaceDN w:val="0"/>
              <w:adjustRightInd w:val="0"/>
              <w:jc w:val="center"/>
              <w:rPr>
                <w:b/>
                <w:color w:val="000000"/>
                <w:sz w:val="18"/>
                <w:szCs w:val="16"/>
                <w:shd w:val="clear" w:color="auto" w:fill="FFFFFF"/>
              </w:rPr>
            </w:pPr>
            <w:r w:rsidRPr="00A54E24">
              <w:rPr>
                <w:b/>
                <w:color w:val="000000"/>
                <w:sz w:val="18"/>
                <w:szCs w:val="16"/>
                <w:shd w:val="clear" w:color="auto" w:fill="FFFFFF"/>
              </w:rPr>
              <w:t xml:space="preserve">% </w:t>
            </w:r>
            <w:r w:rsidR="0095063F">
              <w:rPr>
                <w:b/>
                <w:color w:val="000000"/>
                <w:sz w:val="18"/>
                <w:szCs w:val="16"/>
                <w:shd w:val="clear" w:color="auto" w:fill="FFFFFF"/>
              </w:rPr>
              <w:t>gap</w:t>
            </w:r>
          </w:p>
        </w:tc>
      </w:tr>
      <w:tr w:rsidR="003A6FF2" w:rsidRPr="00A54E24" w:rsidTr="00E00EFD">
        <w:tc>
          <w:tcPr>
            <w:tcW w:w="478" w:type="pct"/>
            <w:tcBorders>
              <w:top w:val="single" w:sz="4" w:space="0" w:color="auto"/>
            </w:tcBorders>
          </w:tcPr>
          <w:p w:rsidR="003A6FF2" w:rsidRPr="00A54E24" w:rsidRDefault="003A6FF2" w:rsidP="00E82628">
            <w:pPr>
              <w:rPr>
                <w:rFonts w:ascii="Calibri" w:eastAsia="Times New Roman" w:hAnsi="Calibri" w:cs="Times New Roman"/>
                <w:color w:val="000000"/>
                <w:sz w:val="16"/>
                <w:szCs w:val="16"/>
              </w:rPr>
            </w:pPr>
            <w:bookmarkStart w:id="222" w:name="_Hlk428445575"/>
            <w:bookmarkStart w:id="223" w:name="_Hlk428445590"/>
            <w:bookmarkStart w:id="224" w:name="_Hlk428789475"/>
            <w:r w:rsidRPr="00A54E24">
              <w:rPr>
                <w:rFonts w:ascii="Calibri" w:eastAsia="Times New Roman" w:hAnsi="Calibri" w:cs="Times New Roman"/>
                <w:color w:val="000000"/>
                <w:sz w:val="16"/>
                <w:szCs w:val="16"/>
              </w:rPr>
              <w:t>LR101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Borders>
              <w:top w:val="single" w:sz="4" w:space="0" w:color="auto"/>
            </w:tcBorders>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1650.80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1650.8</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40</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Borders>
              <w:top w:val="single" w:sz="4" w:space="0" w:color="auto"/>
            </w:tcBorders>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19</w:t>
            </w:r>
          </w:p>
        </w:tc>
        <w:tc>
          <w:tcPr>
            <w:tcW w:w="514" w:type="pct"/>
            <w:tcBorders>
              <w:top w:val="single" w:sz="4" w:space="0" w:color="auto"/>
            </w:tcBorders>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1650.80</w:t>
            </w:r>
          </w:p>
        </w:tc>
        <w:tc>
          <w:tcPr>
            <w:tcW w:w="468" w:type="pct"/>
            <w:gridSpan w:val="2"/>
            <w:tcBorders>
              <w:top w:val="single" w:sz="4" w:space="0" w:color="auto"/>
            </w:tcBorders>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30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bookmarkStart w:id="225" w:name="OLE_LINK97"/>
            <w:bookmarkStart w:id="226" w:name="OLE_LINK99"/>
            <w:bookmarkStart w:id="227" w:name="OLE_LINK124"/>
            <w:bookmarkStart w:id="228" w:name="OLE_LINK125"/>
            <w:bookmarkStart w:id="229" w:name="OLE_LINK126"/>
            <w:bookmarkStart w:id="230" w:name="OLE_LINK127"/>
            <w:bookmarkStart w:id="231" w:name="OLE_LINK128"/>
            <w:bookmarkStart w:id="232" w:name="OLE_LINK129"/>
            <w:bookmarkStart w:id="233" w:name="OLE_LINK132"/>
            <w:bookmarkStart w:id="234" w:name="OLE_LINK133"/>
            <w:bookmarkStart w:id="235" w:name="OLE_LINK134"/>
            <w:bookmarkStart w:id="236" w:name="OLE_LINK135"/>
            <w:bookmarkStart w:id="237" w:name="OLE_LINK136"/>
            <w:bookmarkStart w:id="238" w:name="OLE_LINK137"/>
            <w:bookmarkStart w:id="239" w:name="OLE_LINK138"/>
            <w:bookmarkStart w:id="240" w:name="OLE_LINK139"/>
            <w:bookmarkStart w:id="241" w:name="OLE_LINK140"/>
            <w:bookmarkStart w:id="242" w:name="OLE_LINK155"/>
            <w:bookmarkStart w:id="243" w:name="OLE_LINK156"/>
            <w:bookmarkStart w:id="244" w:name="OLE_LINK160"/>
            <w:bookmarkStart w:id="245" w:name="OLE_LINK161"/>
            <w:bookmarkStart w:id="246" w:name="OLE_LINK162"/>
            <w:bookmarkStart w:id="247" w:name="OLE_LINK163"/>
            <w:r w:rsidRPr="00B01718">
              <w:rPr>
                <w:rFonts w:ascii="Calibri" w:hAnsi="Calibri"/>
                <w:color w:val="000000"/>
                <w:sz w:val="16"/>
                <w:szCs w:val="18"/>
              </w:rPr>
              <w:t>0</w:t>
            </w:r>
            <w:r>
              <w:rPr>
                <w:rFonts w:ascii="Calibri" w:hAnsi="Calibri"/>
                <w:color w:val="000000"/>
                <w:sz w:val="16"/>
                <w:szCs w:val="18"/>
              </w:rPr>
              <w:t>.00</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17</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1487.57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17</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1487.57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47</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17</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1487.57</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bookmarkStart w:id="248" w:name="OLE_LINK3"/>
            <w:bookmarkStart w:id="249" w:name="OLE_LINK62"/>
            <w:bookmarkStart w:id="250" w:name="OLE_LINK63"/>
            <w:bookmarkStart w:id="251" w:name="OLE_LINK87"/>
            <w:bookmarkStart w:id="252" w:name="OLE_LINK88"/>
            <w:r w:rsidRPr="00B01718">
              <w:rPr>
                <w:rFonts w:ascii="Calibri" w:hAnsi="Calibri"/>
                <w:color w:val="000000"/>
                <w:sz w:val="16"/>
                <w:szCs w:val="18"/>
              </w:rPr>
              <w:t>0</w:t>
            </w:r>
            <w:r>
              <w:rPr>
                <w:rFonts w:ascii="Calibri" w:hAnsi="Calibri"/>
                <w:color w:val="000000"/>
                <w:sz w:val="16"/>
                <w:szCs w:val="18"/>
              </w:rPr>
              <w:t>.00</w:t>
            </w:r>
            <w:bookmarkEnd w:id="248"/>
            <w:bookmarkEnd w:id="249"/>
            <w:bookmarkEnd w:id="250"/>
            <w:bookmarkEnd w:id="251"/>
            <w:bookmarkEnd w:id="252"/>
          </w:p>
        </w:tc>
      </w:tr>
      <w:bookmarkEnd w:id="222"/>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1292.68</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1292.68</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1292.68</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92</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1013.39</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1013.39</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1013.39</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286</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1377.11</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1377.11</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40</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1377.11</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44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1252.62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1252.62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1252.62</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61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1111.31</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1111.31</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44</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1111.31</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153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bookmarkStart w:id="253" w:name="_Hlk428445609"/>
            <w:r w:rsidRPr="00A54E24">
              <w:rPr>
                <w:rFonts w:ascii="Calibri" w:eastAsia="Times New Roman" w:hAnsi="Calibri" w:cs="Times New Roman"/>
                <w:color w:val="000000"/>
                <w:sz w:val="16"/>
                <w:szCs w:val="16"/>
              </w:rPr>
              <w:t>LR108</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968.97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968.97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968.97</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348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LR109</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1208.96</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1208.96</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1208.96</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bookmarkEnd w:id="223"/>
      <w:bookmarkEnd w:id="253"/>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LR110</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1159.35</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1159.35</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514" w:type="pct"/>
          </w:tcPr>
          <w:p w:rsidR="003A6FF2" w:rsidRPr="00D175DD" w:rsidRDefault="003A6FF2" w:rsidP="000978C7">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1165.83</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415</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.56</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LR111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1108.9</w:t>
            </w:r>
            <w:r>
              <w:rPr>
                <w:rFonts w:ascii="Calibri" w:eastAsia="Times New Roman" w:hAnsi="Calibri" w:cs="Times New Roman"/>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1108.9</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44</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14"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1108.9</w:t>
            </w:r>
            <w:r>
              <w:rPr>
                <w:rFonts w:ascii="Calibri" w:eastAsia="Times New Roman" w:hAnsi="Calibri" w:cs="Times New Roman"/>
                <w:b/>
                <w:color w:val="000000"/>
                <w:sz w:val="16"/>
                <w:szCs w:val="16"/>
              </w:rPr>
              <w:t>0</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144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LR112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1003.77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1003.77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27</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514" w:type="pct"/>
          </w:tcPr>
          <w:p w:rsidR="003A6FF2" w:rsidRPr="00A54E24" w:rsidRDefault="003A6FF2" w:rsidP="000978C7">
            <w:pPr>
              <w:jc w:val="center"/>
              <w:rPr>
                <w:rFonts w:ascii="Calibri" w:eastAsia="Times New Roman" w:hAnsi="Calibri" w:cs="Times New Roman"/>
                <w:color w:val="000000"/>
                <w:sz w:val="16"/>
                <w:szCs w:val="16"/>
              </w:rPr>
            </w:pPr>
            <w:r w:rsidRPr="00A54E24">
              <w:rPr>
                <w:rFonts w:ascii="Calibri" w:eastAsia="Times New Roman" w:hAnsi="Calibri" w:cs="Times New Roman"/>
                <w:b/>
                <w:color w:val="000000"/>
                <w:sz w:val="16"/>
                <w:szCs w:val="16"/>
              </w:rPr>
              <w:t>1003.77</w:t>
            </w:r>
          </w:p>
        </w:tc>
        <w:tc>
          <w:tcPr>
            <w:tcW w:w="468" w:type="pct"/>
            <w:gridSpan w:val="2"/>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747</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828.94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828.94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828.94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190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828.94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828.94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44</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828.94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306</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1035.35</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BH</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1035.35</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49</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color w:val="000000"/>
                <w:sz w:val="16"/>
                <w:szCs w:val="16"/>
              </w:rPr>
            </w:pPr>
            <w:r w:rsidRPr="00B01718">
              <w:rPr>
                <w:rFonts w:ascii="Calibri" w:eastAsia="Times New Roman" w:hAnsi="Calibri" w:cs="Times New Roman"/>
                <w:color w:val="000000"/>
                <w:sz w:val="16"/>
                <w:szCs w:val="16"/>
              </w:rPr>
              <w:t>827.86</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86</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-2</w:t>
            </w:r>
            <w:r w:rsidRPr="00B01718">
              <w:rPr>
                <w:rFonts w:ascii="Calibri" w:hAnsi="Calibri"/>
                <w:color w:val="000000"/>
                <w:sz w:val="16"/>
                <w:szCs w:val="18"/>
              </w:rPr>
              <w:t>0</w:t>
            </w:r>
            <w:r>
              <w:rPr>
                <w:rFonts w:ascii="Calibri" w:hAnsi="Calibri"/>
                <w:color w:val="000000"/>
                <w:sz w:val="16"/>
                <w:szCs w:val="18"/>
              </w:rPr>
              <w:t>.04</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860.01</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860.01</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color w:val="000000"/>
                <w:sz w:val="16"/>
                <w:szCs w:val="16"/>
              </w:rPr>
            </w:pPr>
            <w:r w:rsidRPr="00B01718">
              <w:rPr>
                <w:rFonts w:ascii="Calibri" w:eastAsia="Times New Roman" w:hAnsi="Calibri" w:cs="Times New Roman"/>
                <w:color w:val="000000"/>
                <w:sz w:val="16"/>
                <w:szCs w:val="16"/>
              </w:rPr>
              <w:t>818.60</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772</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-4.82</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828.94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828.94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828.94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828.94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828.94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828.94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75</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828.94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828.94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828.94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102</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LC108</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826.44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826.44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826.44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170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LC109</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9</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1000.6</w:t>
            </w:r>
            <w:r>
              <w:rPr>
                <w:rFonts w:ascii="Calibri" w:eastAsia="Times New Roman" w:hAnsi="Calibri" w:cs="Times New Roman"/>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BH</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1000.6</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10</w:t>
            </w:r>
          </w:p>
        </w:tc>
        <w:tc>
          <w:tcPr>
            <w:tcW w:w="561" w:type="pct"/>
            <w:gridSpan w:val="2"/>
          </w:tcPr>
          <w:p w:rsidR="003A6FF2" w:rsidRPr="00FB5A82" w:rsidRDefault="003A6FF2" w:rsidP="000978C7">
            <w:pPr>
              <w:jc w:val="center"/>
              <w:rPr>
                <w:rFonts w:ascii="Calibri" w:eastAsia="Times New Roman" w:hAnsi="Calibri" w:cs="Times New Roman"/>
                <w:color w:val="000000"/>
                <w:sz w:val="16"/>
                <w:szCs w:val="16"/>
                <w:lang w:val="el-GR"/>
              </w:rPr>
            </w:pPr>
            <w:r w:rsidRPr="00B01718">
              <w:rPr>
                <w:rFonts w:ascii="Calibri" w:eastAsia="Times New Roman" w:hAnsi="Calibri" w:cs="Times New Roman"/>
                <w:color w:val="000000"/>
                <w:sz w:val="16"/>
                <w:szCs w:val="16"/>
              </w:rPr>
              <w:t>827.82</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60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-17.27</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1708.8</w:t>
            </w:r>
            <w:r>
              <w:rPr>
                <w:rFonts w:ascii="Calibri" w:eastAsia="Times New Roman" w:hAnsi="Calibri" w:cs="Times New Roman"/>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1708.8</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15</w:t>
            </w:r>
          </w:p>
        </w:tc>
        <w:tc>
          <w:tcPr>
            <w:tcW w:w="561" w:type="pct"/>
            <w:gridSpan w:val="2"/>
          </w:tcPr>
          <w:p w:rsidR="003A6FF2" w:rsidRPr="00B01718" w:rsidRDefault="003A6FF2" w:rsidP="000978C7">
            <w:pPr>
              <w:jc w:val="center"/>
              <w:rPr>
                <w:rFonts w:ascii="Calibri" w:eastAsia="Times New Roman" w:hAnsi="Calibri" w:cs="Times New Roman"/>
                <w:color w:val="000000"/>
                <w:sz w:val="16"/>
                <w:szCs w:val="16"/>
              </w:rPr>
            </w:pPr>
            <w:r w:rsidRPr="00B01718">
              <w:rPr>
                <w:rFonts w:ascii="Calibri" w:eastAsia="Times New Roman" w:hAnsi="Calibri" w:cs="Times New Roman"/>
                <w:color w:val="000000"/>
                <w:sz w:val="16"/>
                <w:szCs w:val="16"/>
              </w:rPr>
              <w:t>1703.21</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45</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-0.33</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1558.07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1558.07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1558.07</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170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1258.74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1258.74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1258.74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100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1128.4</w:t>
            </w:r>
            <w:r>
              <w:rPr>
                <w:rFonts w:ascii="Calibri" w:eastAsia="Times New Roman" w:hAnsi="Calibri" w:cs="Times New Roman"/>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1128.4</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1128.4</w:t>
            </w:r>
            <w:r>
              <w:rPr>
                <w:rFonts w:ascii="Calibri" w:eastAsia="Times New Roman" w:hAnsi="Calibri" w:cs="Times New Roman"/>
                <w:b/>
                <w:color w:val="000000"/>
                <w:sz w:val="16"/>
                <w:szCs w:val="16"/>
              </w:rPr>
              <w:t>0</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235</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1637.62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1637.62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13</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1637.62</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58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1424.73</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1424.73</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1424.73</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64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1230.14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1230.14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1230.14</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101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tcPr>
          <w:p w:rsidR="003A6FF2" w:rsidRPr="00A54E24" w:rsidRDefault="003A6FF2" w:rsidP="00E82628">
            <w:pPr>
              <w:rPr>
                <w:rFonts w:ascii="Calibri" w:eastAsia="Times New Roman" w:hAnsi="Calibri" w:cs="Times New Roman"/>
                <w:color w:val="000000"/>
                <w:sz w:val="16"/>
                <w:szCs w:val="16"/>
              </w:rPr>
            </w:pPr>
            <w:r w:rsidRPr="00A54E24">
              <w:rPr>
                <w:rFonts w:ascii="Calibri" w:eastAsia="Times New Roman" w:hAnsi="Calibri" w:cs="Times New Roman"/>
                <w:color w:val="000000"/>
                <w:sz w:val="16"/>
                <w:szCs w:val="16"/>
              </w:rPr>
              <w:t>LRC108</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432"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1147.43</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1147.43</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Pr>
          <w:p w:rsidR="003A6FF2" w:rsidRPr="00A54E24" w:rsidRDefault="003A6FF2" w:rsidP="000978C7">
            <w:pPr>
              <w:jc w:val="center"/>
              <w:rPr>
                <w:rFonts w:ascii="Calibri" w:eastAsia="Times New Roman" w:hAnsi="Calibri" w:cs="Times New Roman"/>
                <w:b/>
                <w:color w:val="000000"/>
                <w:sz w:val="16"/>
                <w:szCs w:val="16"/>
              </w:rPr>
            </w:pPr>
            <w:r w:rsidRPr="00A54E24">
              <w:rPr>
                <w:rFonts w:ascii="Calibri" w:eastAsia="Times New Roman" w:hAnsi="Calibri" w:cs="Times New Roman"/>
                <w:b/>
                <w:color w:val="000000"/>
                <w:sz w:val="16"/>
                <w:szCs w:val="16"/>
              </w:rPr>
              <w:t>10</w:t>
            </w:r>
          </w:p>
        </w:tc>
        <w:tc>
          <w:tcPr>
            <w:tcW w:w="561" w:type="pct"/>
            <w:gridSpan w:val="2"/>
          </w:tcPr>
          <w:p w:rsidR="003A6FF2" w:rsidRPr="00B01718" w:rsidRDefault="003A6FF2" w:rsidP="000978C7">
            <w:pPr>
              <w:jc w:val="center"/>
              <w:rPr>
                <w:rFonts w:ascii="Calibri" w:eastAsia="Times New Roman" w:hAnsi="Calibri" w:cs="Times New Roman"/>
                <w:b/>
                <w:color w:val="000000"/>
                <w:sz w:val="16"/>
                <w:szCs w:val="16"/>
              </w:rPr>
            </w:pPr>
            <w:r w:rsidRPr="00B01718">
              <w:rPr>
                <w:rFonts w:ascii="Calibri" w:eastAsia="Times New Roman" w:hAnsi="Calibri" w:cs="Times New Roman"/>
                <w:b/>
                <w:color w:val="000000"/>
                <w:sz w:val="16"/>
                <w:szCs w:val="16"/>
              </w:rPr>
              <w:t>1147.43</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161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1253.23</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1253.23</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69</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1253.23</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490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1197.67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1197.67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60</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1197.67</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2293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949.4</w:t>
            </w:r>
            <w:r>
              <w:rPr>
                <w:rFonts w:ascii="Calibri" w:hAnsi="Calibri"/>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949.4</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949.4</w:t>
            </w:r>
            <w:r>
              <w:rPr>
                <w:rFonts w:ascii="Calibri" w:hAnsi="Calibri"/>
                <w:b/>
                <w:color w:val="000000"/>
                <w:sz w:val="16"/>
                <w:szCs w:val="16"/>
              </w:rPr>
              <w:t>0</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1783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bookmarkStart w:id="254" w:name="_Hlk429392844"/>
            <w:r w:rsidRPr="00A54E24">
              <w:rPr>
                <w:rFonts w:ascii="Calibri" w:hAnsi="Calibri"/>
                <w:color w:val="000000"/>
                <w:sz w:val="16"/>
                <w:szCs w:val="16"/>
              </w:rPr>
              <w:t>LR204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2</w:t>
            </w:r>
          </w:p>
        </w:tc>
        <w:tc>
          <w:tcPr>
            <w:tcW w:w="432" w:type="pct"/>
            <w:vAlign w:val="bottom"/>
          </w:tcPr>
          <w:p w:rsidR="003A6FF2" w:rsidRPr="00A54E24" w:rsidRDefault="003A6FF2" w:rsidP="000978C7">
            <w:pPr>
              <w:jc w:val="center"/>
              <w:rPr>
                <w:rFonts w:ascii="Calibri" w:hAnsi="Calibri"/>
                <w:b/>
                <w:color w:val="000000"/>
                <w:sz w:val="16"/>
                <w:szCs w:val="16"/>
              </w:rPr>
            </w:pPr>
            <w:bookmarkStart w:id="255" w:name="OLE_LINK329"/>
            <w:bookmarkStart w:id="256" w:name="OLE_LINK332"/>
            <w:bookmarkStart w:id="257" w:name="OLE_LINK333"/>
            <w:r w:rsidRPr="00A54E24">
              <w:rPr>
                <w:rFonts w:ascii="Calibri" w:hAnsi="Calibri"/>
                <w:b/>
                <w:color w:val="000000"/>
                <w:sz w:val="16"/>
                <w:szCs w:val="16"/>
              </w:rPr>
              <w:t>849.05</w:t>
            </w:r>
            <w:bookmarkEnd w:id="255"/>
            <w:bookmarkEnd w:id="256"/>
            <w:bookmarkEnd w:id="257"/>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849.05</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181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lang w:val="el-GR"/>
              </w:rPr>
            </w:pPr>
            <w:r w:rsidRPr="008C3A18">
              <w:rPr>
                <w:rFonts w:ascii="Calibri" w:hAnsi="Calibri"/>
                <w:b/>
                <w:color w:val="000000"/>
                <w:sz w:val="16"/>
                <w:szCs w:val="16"/>
                <w:lang w:val="el-GR"/>
              </w:rPr>
              <w:t>2</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A54E24">
              <w:rPr>
                <w:rFonts w:ascii="Calibri" w:hAnsi="Calibri"/>
                <w:b/>
                <w:color w:val="000000"/>
                <w:sz w:val="16"/>
                <w:szCs w:val="16"/>
              </w:rPr>
              <w:t>849.05</w:t>
            </w:r>
          </w:p>
        </w:tc>
        <w:tc>
          <w:tcPr>
            <w:tcW w:w="421" w:type="pct"/>
            <w:vAlign w:val="bottom"/>
          </w:tcPr>
          <w:p w:rsidR="003A6FF2" w:rsidRPr="00FF7694" w:rsidRDefault="003A6FF2" w:rsidP="000978C7">
            <w:pPr>
              <w:jc w:val="center"/>
              <w:rPr>
                <w:rFonts w:ascii="Calibri" w:hAnsi="Calibri"/>
                <w:color w:val="000000"/>
                <w:sz w:val="16"/>
                <w:lang w:val="el-GR"/>
              </w:rPr>
            </w:pPr>
            <w:r>
              <w:rPr>
                <w:rFonts w:ascii="Calibri" w:hAnsi="Calibri"/>
                <w:color w:val="000000"/>
                <w:sz w:val="16"/>
                <w:lang w:val="el-GR"/>
              </w:rPr>
              <w:t>910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bookmarkEnd w:id="254"/>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1054.02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1054.02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rPr>
            </w:pPr>
            <w:r w:rsidRPr="008C3A18">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1054.02</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933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931.63</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931.63</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rPr>
            </w:pPr>
            <w:r w:rsidRPr="008C3A18">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931.63</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1166</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2</w:t>
            </w:r>
          </w:p>
        </w:tc>
        <w:tc>
          <w:tcPr>
            <w:tcW w:w="432" w:type="pct"/>
            <w:vAlign w:val="bottom"/>
          </w:tcPr>
          <w:p w:rsidR="003A6FF2" w:rsidRPr="00A54E24" w:rsidRDefault="003A6FF2" w:rsidP="000978C7">
            <w:pPr>
              <w:jc w:val="center"/>
              <w:rPr>
                <w:rFonts w:ascii="Calibri" w:hAnsi="Calibri"/>
                <w:b/>
                <w:color w:val="000000"/>
                <w:sz w:val="16"/>
                <w:szCs w:val="16"/>
              </w:rPr>
            </w:pPr>
            <w:bookmarkStart w:id="258" w:name="OLE_LINK336"/>
            <w:bookmarkStart w:id="259" w:name="OLE_LINK339"/>
            <w:bookmarkStart w:id="260" w:name="OLE_LINK344"/>
            <w:r w:rsidRPr="00A54E24">
              <w:rPr>
                <w:rFonts w:ascii="Calibri" w:hAnsi="Calibri"/>
                <w:b/>
                <w:color w:val="000000"/>
                <w:sz w:val="16"/>
                <w:szCs w:val="16"/>
              </w:rPr>
              <w:t>903.06</w:t>
            </w:r>
            <w:bookmarkEnd w:id="258"/>
            <w:bookmarkEnd w:id="259"/>
            <w:bookmarkEnd w:id="260"/>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903.06</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187</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lang w:val="el-GR"/>
              </w:rPr>
            </w:pPr>
            <w:r w:rsidRPr="008C3A18">
              <w:rPr>
                <w:rFonts w:ascii="Calibri" w:hAnsi="Calibri"/>
                <w:b/>
                <w:color w:val="000000"/>
                <w:sz w:val="16"/>
                <w:szCs w:val="16"/>
                <w:lang w:val="el-GR"/>
              </w:rPr>
              <w:t>2</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A54E24">
              <w:rPr>
                <w:rFonts w:ascii="Calibri" w:hAnsi="Calibri"/>
                <w:b/>
                <w:color w:val="000000"/>
                <w:sz w:val="16"/>
                <w:szCs w:val="16"/>
              </w:rPr>
              <w:t>903.06</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1399</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LR208</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2</w:t>
            </w:r>
          </w:p>
        </w:tc>
        <w:tc>
          <w:tcPr>
            <w:tcW w:w="432" w:type="pct"/>
            <w:vAlign w:val="bottom"/>
          </w:tcPr>
          <w:p w:rsidR="003A6FF2" w:rsidRPr="00A54E24" w:rsidRDefault="003A6FF2" w:rsidP="000978C7">
            <w:pPr>
              <w:jc w:val="center"/>
              <w:rPr>
                <w:rFonts w:ascii="Calibri" w:hAnsi="Calibri"/>
                <w:b/>
                <w:color w:val="000000"/>
                <w:sz w:val="16"/>
                <w:szCs w:val="16"/>
              </w:rPr>
            </w:pPr>
            <w:bookmarkStart w:id="261" w:name="OLE_LINK345"/>
            <w:bookmarkStart w:id="262" w:name="OLE_LINK351"/>
            <w:bookmarkStart w:id="263" w:name="OLE_LINK354"/>
            <w:r w:rsidRPr="00A54E24">
              <w:rPr>
                <w:rFonts w:ascii="Calibri" w:hAnsi="Calibri"/>
                <w:b/>
                <w:color w:val="000000"/>
                <w:sz w:val="16"/>
                <w:szCs w:val="16"/>
              </w:rPr>
              <w:t>734.85</w:t>
            </w:r>
            <w:bookmarkEnd w:id="261"/>
            <w:bookmarkEnd w:id="262"/>
            <w:bookmarkEnd w:id="263"/>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734.85</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285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lang w:val="el-GR"/>
              </w:rPr>
            </w:pPr>
            <w:r w:rsidRPr="008C3A18">
              <w:rPr>
                <w:rFonts w:ascii="Calibri" w:hAnsi="Calibri"/>
                <w:b/>
                <w:color w:val="000000"/>
                <w:sz w:val="16"/>
                <w:szCs w:val="16"/>
                <w:lang w:val="el-GR"/>
              </w:rPr>
              <w:t>2</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A54E24">
              <w:rPr>
                <w:rFonts w:ascii="Calibri" w:hAnsi="Calibri"/>
                <w:b/>
                <w:color w:val="000000"/>
                <w:sz w:val="16"/>
                <w:szCs w:val="16"/>
              </w:rPr>
              <w:t>734.85</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6049</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LR209</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930.59</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930.59</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73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930.59</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4118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LR210</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964.22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964.22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77</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964.22</w:t>
            </w:r>
          </w:p>
        </w:tc>
        <w:tc>
          <w:tcPr>
            <w:tcW w:w="421" w:type="pct"/>
            <w:vAlign w:val="bottom"/>
          </w:tcPr>
          <w:p w:rsidR="003A6FF2" w:rsidRPr="00B01718" w:rsidRDefault="003A6FF2" w:rsidP="000978C7">
            <w:pPr>
              <w:jc w:val="center"/>
              <w:rPr>
                <w:rFonts w:ascii="Calibri" w:hAnsi="Calibri"/>
                <w:color w:val="000000"/>
                <w:sz w:val="16"/>
              </w:rPr>
            </w:pPr>
            <w:r w:rsidRPr="00B01718">
              <w:rPr>
                <w:rFonts w:ascii="Calibri" w:hAnsi="Calibri"/>
                <w:color w:val="000000"/>
                <w:sz w:val="16"/>
              </w:rPr>
              <w:t>7544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LR211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2</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911.52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2</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911.52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126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color w:val="000000"/>
                <w:sz w:val="16"/>
                <w:szCs w:val="16"/>
              </w:rPr>
            </w:pPr>
            <w:r>
              <w:rPr>
                <w:rFonts w:ascii="Calibri" w:hAnsi="Calibri"/>
                <w:color w:val="000000"/>
                <w:sz w:val="16"/>
                <w:szCs w:val="16"/>
              </w:rPr>
              <w:t>3</w:t>
            </w:r>
          </w:p>
        </w:tc>
        <w:tc>
          <w:tcPr>
            <w:tcW w:w="561" w:type="pct"/>
            <w:gridSpan w:val="2"/>
            <w:vAlign w:val="bottom"/>
          </w:tcPr>
          <w:p w:rsidR="003A6FF2" w:rsidRPr="008C3A18" w:rsidRDefault="003A6FF2" w:rsidP="000978C7">
            <w:pPr>
              <w:jc w:val="center"/>
              <w:rPr>
                <w:rFonts w:ascii="Calibri" w:hAnsi="Calibri"/>
                <w:color w:val="000000"/>
                <w:sz w:val="16"/>
                <w:szCs w:val="16"/>
              </w:rPr>
            </w:pPr>
            <w:r w:rsidRPr="008C3A18">
              <w:rPr>
                <w:rFonts w:ascii="Calibri" w:hAnsi="Calibri"/>
                <w:color w:val="000000"/>
                <w:sz w:val="16"/>
                <w:szCs w:val="16"/>
              </w:rPr>
              <w:t>884.29</w:t>
            </w:r>
          </w:p>
        </w:tc>
        <w:tc>
          <w:tcPr>
            <w:tcW w:w="421" w:type="pct"/>
            <w:vAlign w:val="bottom"/>
          </w:tcPr>
          <w:p w:rsidR="003A6FF2" w:rsidRPr="00B01718" w:rsidRDefault="003A6FF2" w:rsidP="000978C7">
            <w:pPr>
              <w:jc w:val="center"/>
              <w:rPr>
                <w:rFonts w:ascii="Calibri" w:hAnsi="Calibri"/>
                <w:color w:val="000000"/>
                <w:sz w:val="16"/>
              </w:rPr>
            </w:pPr>
            <w:r>
              <w:rPr>
                <w:rFonts w:ascii="Calibri" w:hAnsi="Calibri"/>
                <w:color w:val="000000"/>
                <w:sz w:val="16"/>
              </w:rPr>
              <w:t>5203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-2.96</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591.56</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591.56</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591.56</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280</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bookmarkStart w:id="264" w:name="OLE_LINK371"/>
            <w:bookmarkStart w:id="265" w:name="OLE_LINK372"/>
            <w:bookmarkStart w:id="266" w:name="OLE_LINK373"/>
            <w:r w:rsidRPr="00A54E24">
              <w:rPr>
                <w:rFonts w:ascii="Calibri" w:hAnsi="Calibri"/>
                <w:b/>
                <w:color w:val="000000"/>
                <w:sz w:val="16"/>
                <w:szCs w:val="16"/>
              </w:rPr>
              <w:t>591.56</w:t>
            </w:r>
            <w:bookmarkEnd w:id="264"/>
            <w:bookmarkEnd w:id="265"/>
            <w:bookmarkEnd w:id="266"/>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591.56</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59</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591.56</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2161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585.56</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591.17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66341" w:rsidRDefault="003A6FF2" w:rsidP="000978C7">
            <w:pPr>
              <w:jc w:val="center"/>
              <w:rPr>
                <w:rFonts w:ascii="Calibri" w:hAnsi="Calibri"/>
                <w:color w:val="000000"/>
                <w:sz w:val="16"/>
                <w:szCs w:val="16"/>
              </w:rPr>
            </w:pPr>
            <w:r w:rsidRPr="00A66341">
              <w:rPr>
                <w:rFonts w:ascii="Calibri" w:hAnsi="Calibri"/>
                <w:color w:val="000000"/>
                <w:sz w:val="16"/>
                <w:szCs w:val="16"/>
              </w:rPr>
              <w:t>3</w:t>
            </w:r>
          </w:p>
        </w:tc>
        <w:tc>
          <w:tcPr>
            <w:tcW w:w="561" w:type="pct"/>
            <w:gridSpan w:val="2"/>
            <w:vAlign w:val="bottom"/>
          </w:tcPr>
          <w:p w:rsidR="003A6FF2" w:rsidRPr="00FB5A82" w:rsidRDefault="003A6FF2" w:rsidP="000978C7">
            <w:pPr>
              <w:jc w:val="center"/>
              <w:rPr>
                <w:rFonts w:ascii="Calibri" w:hAnsi="Calibri"/>
                <w:color w:val="000000"/>
                <w:sz w:val="16"/>
                <w:szCs w:val="16"/>
                <w:lang w:val="el-GR"/>
              </w:rPr>
            </w:pPr>
            <w:r w:rsidRPr="00A66341">
              <w:rPr>
                <w:rFonts w:ascii="Calibri" w:hAnsi="Calibri"/>
                <w:color w:val="000000"/>
                <w:sz w:val="16"/>
                <w:szCs w:val="16"/>
              </w:rPr>
              <w:t>591.17</w:t>
            </w:r>
          </w:p>
        </w:tc>
        <w:tc>
          <w:tcPr>
            <w:tcW w:w="421" w:type="pct"/>
            <w:vAlign w:val="bottom"/>
          </w:tcPr>
          <w:p w:rsidR="003A6FF2" w:rsidRPr="005D5274" w:rsidRDefault="003A6FF2" w:rsidP="000978C7">
            <w:pPr>
              <w:jc w:val="center"/>
              <w:rPr>
                <w:rFonts w:ascii="Calibri" w:hAnsi="Calibri"/>
                <w:color w:val="000000"/>
                <w:sz w:val="16"/>
              </w:rPr>
            </w:pPr>
            <w:r>
              <w:rPr>
                <w:rFonts w:ascii="Calibri" w:hAnsi="Calibri"/>
                <w:color w:val="000000"/>
                <w:sz w:val="16"/>
              </w:rPr>
              <w:t>78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0.96</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bookmarkStart w:id="267" w:name="OLE_LINK358"/>
            <w:bookmarkStart w:id="268" w:name="OLE_LINK369"/>
            <w:bookmarkStart w:id="269" w:name="OLE_LINK370"/>
            <w:r w:rsidRPr="00A54E24">
              <w:rPr>
                <w:rFonts w:ascii="Calibri" w:hAnsi="Calibri"/>
                <w:b/>
                <w:color w:val="000000"/>
                <w:sz w:val="16"/>
                <w:szCs w:val="16"/>
              </w:rPr>
              <w:t>590.6</w:t>
            </w:r>
            <w:r>
              <w:rPr>
                <w:rFonts w:ascii="Calibri" w:hAnsi="Calibri"/>
                <w:b/>
                <w:color w:val="000000"/>
                <w:sz w:val="16"/>
                <w:szCs w:val="16"/>
              </w:rPr>
              <w:t>0</w:t>
            </w:r>
            <w:bookmarkEnd w:id="267"/>
            <w:bookmarkEnd w:id="268"/>
            <w:bookmarkEnd w:id="269"/>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590.6</w:t>
            </w:r>
            <w:r w:rsidR="00682B17">
              <w:rPr>
                <w:rFonts w:ascii="Calibri" w:hAnsi="Calibri"/>
                <w:color w:val="000000"/>
                <w:sz w:val="16"/>
                <w:szCs w:val="16"/>
              </w:rPr>
              <w:t>0</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141</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8C3A18" w:rsidRDefault="003A6FF2" w:rsidP="000978C7">
            <w:pPr>
              <w:jc w:val="center"/>
              <w:rPr>
                <w:rFonts w:ascii="Calibri" w:hAnsi="Calibri"/>
                <w:b/>
                <w:color w:val="000000"/>
                <w:sz w:val="16"/>
                <w:szCs w:val="16"/>
              </w:rPr>
            </w:pPr>
            <w:r w:rsidRPr="008C3A18">
              <w:rPr>
                <w:rFonts w:ascii="Calibri" w:hAnsi="Calibri"/>
                <w:b/>
                <w:color w:val="000000"/>
                <w:sz w:val="16"/>
                <w:szCs w:val="16"/>
              </w:rPr>
              <w:t>3</w:t>
            </w:r>
          </w:p>
        </w:tc>
        <w:tc>
          <w:tcPr>
            <w:tcW w:w="561" w:type="pct"/>
            <w:gridSpan w:val="2"/>
            <w:vAlign w:val="bottom"/>
          </w:tcPr>
          <w:p w:rsidR="003A6FF2" w:rsidRPr="008C3A18" w:rsidRDefault="003A6FF2" w:rsidP="000978C7">
            <w:pPr>
              <w:jc w:val="center"/>
              <w:rPr>
                <w:rFonts w:ascii="Calibri" w:hAnsi="Calibri"/>
                <w:b/>
                <w:color w:val="000000"/>
                <w:sz w:val="16"/>
                <w:szCs w:val="16"/>
              </w:rPr>
            </w:pPr>
            <w:r w:rsidRPr="008C3A18">
              <w:rPr>
                <w:rFonts w:ascii="Calibri" w:hAnsi="Calibri"/>
                <w:b/>
                <w:color w:val="000000"/>
                <w:sz w:val="16"/>
                <w:szCs w:val="16"/>
              </w:rPr>
              <w:t>590.60</w:t>
            </w:r>
          </w:p>
        </w:tc>
        <w:tc>
          <w:tcPr>
            <w:tcW w:w="421" w:type="pct"/>
            <w:vAlign w:val="bottom"/>
          </w:tcPr>
          <w:p w:rsidR="003A6FF2" w:rsidRPr="005D5274" w:rsidRDefault="003A6FF2" w:rsidP="000978C7">
            <w:pPr>
              <w:jc w:val="center"/>
              <w:rPr>
                <w:rFonts w:ascii="Calibri" w:hAnsi="Calibri"/>
                <w:color w:val="000000"/>
                <w:sz w:val="16"/>
              </w:rPr>
            </w:pPr>
            <w:r>
              <w:rPr>
                <w:rFonts w:ascii="Calibri" w:hAnsi="Calibri"/>
                <w:color w:val="000000"/>
                <w:sz w:val="16"/>
              </w:rPr>
              <w:t>1151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588.88</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588.88</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588.88</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158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588.49</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588.49</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60</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588.49</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584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588.29</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588.29</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588.29</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1067</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LC208</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588.32</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588.32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69</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588.32</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924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LRC201</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1406.94</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1406.94</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1406.94</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96</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LRC202</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1374.27</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1374.79</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82</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1374.27</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1751</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LRC203</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bookmarkStart w:id="270" w:name="OLE_LINK355"/>
            <w:bookmarkStart w:id="271" w:name="OLE_LINK356"/>
            <w:bookmarkStart w:id="272" w:name="OLE_LINK357"/>
            <w:r w:rsidRPr="00A54E24">
              <w:rPr>
                <w:rFonts w:ascii="Calibri" w:hAnsi="Calibri"/>
                <w:b/>
                <w:color w:val="000000"/>
                <w:sz w:val="16"/>
                <w:szCs w:val="16"/>
              </w:rPr>
              <w:t>1089.07</w:t>
            </w:r>
            <w:bookmarkEnd w:id="270"/>
            <w:bookmarkEnd w:id="271"/>
            <w:bookmarkEnd w:id="272"/>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1089.07</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69</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color w:val="000000"/>
                <w:sz w:val="16"/>
                <w:szCs w:val="16"/>
              </w:rPr>
            </w:pPr>
            <w:r>
              <w:rPr>
                <w:rFonts w:ascii="Calibri" w:hAnsi="Calibri"/>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A54E24">
              <w:rPr>
                <w:rFonts w:ascii="Calibri" w:hAnsi="Calibri"/>
                <w:b/>
                <w:color w:val="000000"/>
                <w:sz w:val="16"/>
                <w:szCs w:val="16"/>
              </w:rPr>
              <w:t>1089.07</w:t>
            </w:r>
          </w:p>
        </w:tc>
        <w:tc>
          <w:tcPr>
            <w:tcW w:w="421" w:type="pct"/>
            <w:vAlign w:val="bottom"/>
          </w:tcPr>
          <w:p w:rsidR="003A6FF2" w:rsidRPr="005D5274" w:rsidRDefault="003A6FF2" w:rsidP="000978C7">
            <w:pPr>
              <w:jc w:val="center"/>
              <w:rPr>
                <w:rFonts w:ascii="Calibri" w:hAnsi="Calibri"/>
                <w:color w:val="000000"/>
                <w:sz w:val="16"/>
              </w:rPr>
            </w:pPr>
            <w:r>
              <w:rPr>
                <w:rFonts w:ascii="Calibri" w:hAnsi="Calibri"/>
                <w:color w:val="000000"/>
                <w:sz w:val="16"/>
              </w:rPr>
              <w:t>19495</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sidRPr="00B01718">
              <w:rPr>
                <w:rFonts w:ascii="Calibri" w:hAnsi="Calibri"/>
                <w:color w:val="000000"/>
                <w:sz w:val="16"/>
                <w:szCs w:val="18"/>
              </w:rPr>
              <w:t>0</w:t>
            </w:r>
            <w:r>
              <w:rPr>
                <w:rFonts w:ascii="Calibri" w:hAnsi="Calibri"/>
                <w:color w:val="000000"/>
                <w:sz w:val="16"/>
                <w:szCs w:val="18"/>
              </w:rPr>
              <w:t>.00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LRC204</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818.66</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818.66</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173</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818.66</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3802</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LRC205</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1302.2</w:t>
            </w:r>
            <w:r>
              <w:rPr>
                <w:rFonts w:ascii="Calibri" w:hAnsi="Calibri"/>
                <w:b/>
                <w:color w:val="000000"/>
                <w:sz w:val="16"/>
                <w:szCs w:val="16"/>
              </w:rPr>
              <w:t>0</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1302.2</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75</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4</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1302.2</w:t>
            </w:r>
            <w:r>
              <w:rPr>
                <w:rFonts w:ascii="Calibri" w:hAnsi="Calibri"/>
                <w:b/>
                <w:color w:val="000000"/>
                <w:sz w:val="16"/>
                <w:szCs w:val="16"/>
              </w:rPr>
              <w:t>0</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1368</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LRC206</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1159.03</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1159.03</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48</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1159.03</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2574</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LRC207</w:t>
            </w:r>
          </w:p>
        </w:tc>
        <w:tc>
          <w:tcPr>
            <w:tcW w:w="127" w:type="pct"/>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1062.05</w:t>
            </w:r>
          </w:p>
        </w:tc>
        <w:tc>
          <w:tcPr>
            <w:tcW w:w="288"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SAM</w:t>
            </w:r>
          </w:p>
        </w:tc>
        <w:tc>
          <w:tcPr>
            <w:tcW w:w="132"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1062.05</w:t>
            </w:r>
          </w:p>
        </w:tc>
        <w:tc>
          <w:tcPr>
            <w:tcW w:w="326" w:type="pct"/>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66</w:t>
            </w:r>
          </w:p>
        </w:tc>
        <w:tc>
          <w:tcPr>
            <w:tcW w:w="187" w:type="pct"/>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1062.05</w:t>
            </w:r>
          </w:p>
        </w:tc>
        <w:tc>
          <w:tcPr>
            <w:tcW w:w="421" w:type="pct"/>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3072</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tr w:rsidR="003A6FF2" w:rsidRPr="00A54E24" w:rsidTr="00E00EFD">
        <w:tc>
          <w:tcPr>
            <w:tcW w:w="478" w:type="pct"/>
            <w:tcBorders>
              <w:bottom w:val="single" w:sz="4" w:space="0" w:color="auto"/>
            </w:tcBorders>
            <w:vAlign w:val="bottom"/>
          </w:tcPr>
          <w:p w:rsidR="003A6FF2" w:rsidRPr="00A54E24" w:rsidRDefault="003A6FF2" w:rsidP="00E82628">
            <w:pPr>
              <w:rPr>
                <w:rFonts w:ascii="Calibri" w:hAnsi="Calibri"/>
                <w:color w:val="000000"/>
                <w:sz w:val="16"/>
                <w:szCs w:val="16"/>
              </w:rPr>
            </w:pPr>
            <w:r w:rsidRPr="00A54E24">
              <w:rPr>
                <w:rFonts w:ascii="Calibri" w:hAnsi="Calibri"/>
                <w:color w:val="000000"/>
                <w:sz w:val="16"/>
                <w:szCs w:val="16"/>
              </w:rPr>
              <w:t>LRC208</w:t>
            </w:r>
          </w:p>
        </w:tc>
        <w:tc>
          <w:tcPr>
            <w:tcW w:w="127" w:type="pct"/>
            <w:tcBorders>
              <w:bottom w:val="single" w:sz="4" w:space="0" w:color="auto"/>
            </w:tcBorders>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Borders>
              <w:bottom w:val="single" w:sz="4" w:space="0" w:color="auto"/>
            </w:tcBorders>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432" w:type="pct"/>
            <w:tcBorders>
              <w:bottom w:val="single" w:sz="4" w:space="0" w:color="auto"/>
            </w:tcBorders>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852.76</w:t>
            </w:r>
          </w:p>
        </w:tc>
        <w:tc>
          <w:tcPr>
            <w:tcW w:w="288" w:type="pct"/>
            <w:tcBorders>
              <w:bottom w:val="single" w:sz="4" w:space="0" w:color="auto"/>
            </w:tcBorders>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LL</w:t>
            </w:r>
          </w:p>
        </w:tc>
        <w:tc>
          <w:tcPr>
            <w:tcW w:w="132"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tcBorders>
              <w:bottom w:val="single" w:sz="4" w:space="0" w:color="auto"/>
            </w:tcBorders>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3</w:t>
            </w:r>
          </w:p>
        </w:tc>
        <w:tc>
          <w:tcPr>
            <w:tcW w:w="560" w:type="pct"/>
            <w:tcBorders>
              <w:bottom w:val="single" w:sz="4" w:space="0" w:color="auto"/>
            </w:tcBorders>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852.76</w:t>
            </w:r>
          </w:p>
        </w:tc>
        <w:tc>
          <w:tcPr>
            <w:tcW w:w="326" w:type="pct"/>
            <w:tcBorders>
              <w:bottom w:val="single" w:sz="4" w:space="0" w:color="auto"/>
            </w:tcBorders>
            <w:vAlign w:val="bottom"/>
          </w:tcPr>
          <w:p w:rsidR="003A6FF2" w:rsidRPr="00A54E24" w:rsidRDefault="003A6FF2" w:rsidP="000978C7">
            <w:pPr>
              <w:jc w:val="center"/>
              <w:rPr>
                <w:rFonts w:ascii="Calibri" w:hAnsi="Calibri"/>
                <w:color w:val="000000"/>
                <w:sz w:val="16"/>
                <w:szCs w:val="16"/>
              </w:rPr>
            </w:pPr>
            <w:r w:rsidRPr="00A54E24">
              <w:rPr>
                <w:rFonts w:ascii="Calibri" w:hAnsi="Calibri"/>
                <w:color w:val="000000"/>
                <w:sz w:val="16"/>
                <w:szCs w:val="16"/>
              </w:rPr>
              <w:t>88</w:t>
            </w:r>
          </w:p>
        </w:tc>
        <w:tc>
          <w:tcPr>
            <w:tcW w:w="187"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Borders>
              <w:bottom w:val="single" w:sz="4" w:space="0" w:color="auto"/>
            </w:tcBorders>
            <w:vAlign w:val="bottom"/>
          </w:tcPr>
          <w:p w:rsidR="003A6FF2" w:rsidRPr="00A54E24" w:rsidRDefault="003A6FF2" w:rsidP="000978C7">
            <w:pPr>
              <w:jc w:val="center"/>
              <w:rPr>
                <w:rFonts w:ascii="Calibri" w:hAnsi="Calibri"/>
                <w:b/>
                <w:color w:val="000000"/>
                <w:sz w:val="16"/>
                <w:szCs w:val="16"/>
              </w:rPr>
            </w:pPr>
            <w:r w:rsidRPr="00A54E24">
              <w:rPr>
                <w:rFonts w:ascii="Calibri" w:hAnsi="Calibri"/>
                <w:b/>
                <w:color w:val="000000"/>
                <w:sz w:val="16"/>
                <w:szCs w:val="16"/>
              </w:rPr>
              <w:t>3</w:t>
            </w:r>
          </w:p>
        </w:tc>
        <w:tc>
          <w:tcPr>
            <w:tcW w:w="561" w:type="pct"/>
            <w:gridSpan w:val="2"/>
            <w:tcBorders>
              <w:bottom w:val="single" w:sz="4" w:space="0" w:color="auto"/>
            </w:tcBorders>
            <w:vAlign w:val="bottom"/>
          </w:tcPr>
          <w:p w:rsidR="003A6FF2" w:rsidRPr="00B01718" w:rsidRDefault="003A6FF2" w:rsidP="000978C7">
            <w:pPr>
              <w:jc w:val="center"/>
              <w:rPr>
                <w:rFonts w:ascii="Calibri" w:hAnsi="Calibri"/>
                <w:b/>
                <w:color w:val="000000"/>
                <w:sz w:val="16"/>
                <w:szCs w:val="16"/>
              </w:rPr>
            </w:pPr>
            <w:r w:rsidRPr="00B01718">
              <w:rPr>
                <w:rFonts w:ascii="Calibri" w:hAnsi="Calibri"/>
                <w:b/>
                <w:color w:val="000000"/>
                <w:sz w:val="16"/>
                <w:szCs w:val="16"/>
              </w:rPr>
              <w:t>852.76</w:t>
            </w:r>
          </w:p>
        </w:tc>
        <w:tc>
          <w:tcPr>
            <w:tcW w:w="421" w:type="pct"/>
            <w:tcBorders>
              <w:bottom w:val="single" w:sz="4" w:space="0" w:color="auto"/>
            </w:tcBorders>
            <w:vAlign w:val="bottom"/>
          </w:tcPr>
          <w:p w:rsidR="003A6FF2" w:rsidRPr="005D5274" w:rsidRDefault="003A6FF2" w:rsidP="000978C7">
            <w:pPr>
              <w:jc w:val="center"/>
              <w:rPr>
                <w:rFonts w:ascii="Calibri" w:hAnsi="Calibri"/>
                <w:color w:val="000000"/>
                <w:sz w:val="16"/>
              </w:rPr>
            </w:pPr>
            <w:r w:rsidRPr="005D5274">
              <w:rPr>
                <w:rFonts w:ascii="Calibri" w:hAnsi="Calibri"/>
                <w:color w:val="000000"/>
                <w:sz w:val="16"/>
              </w:rPr>
              <w:t>2263</w:t>
            </w:r>
          </w:p>
        </w:tc>
        <w:tc>
          <w:tcPr>
            <w:tcW w:w="420" w:type="pct"/>
            <w:tcBorders>
              <w:top w:val="nil"/>
              <w:left w:val="nil"/>
              <w:bottom w:val="nil"/>
              <w:right w:val="nil"/>
            </w:tcBorders>
            <w:shd w:val="clear" w:color="auto" w:fill="auto"/>
            <w:vAlign w:val="bottom"/>
          </w:tcPr>
          <w:p w:rsidR="003A6FF2" w:rsidRPr="00B01718" w:rsidRDefault="003A6FF2" w:rsidP="000978C7">
            <w:pPr>
              <w:jc w:val="center"/>
              <w:rPr>
                <w:rFonts w:ascii="Calibri" w:hAnsi="Calibri"/>
                <w:color w:val="000000"/>
                <w:sz w:val="16"/>
                <w:szCs w:val="18"/>
              </w:rPr>
            </w:pPr>
            <w:r>
              <w:rPr>
                <w:rFonts w:ascii="Calibri" w:hAnsi="Calibri"/>
                <w:color w:val="000000"/>
                <w:sz w:val="16"/>
                <w:szCs w:val="18"/>
              </w:rPr>
              <w:t>0.00</w:t>
            </w:r>
          </w:p>
        </w:tc>
      </w:tr>
      <w:bookmarkEnd w:id="224"/>
      <w:tr w:rsidR="003A6FF2" w:rsidRPr="00A54E24" w:rsidTr="00E00EFD">
        <w:tc>
          <w:tcPr>
            <w:tcW w:w="478" w:type="pct"/>
            <w:tcBorders>
              <w:top w:val="single" w:sz="4" w:space="0" w:color="auto"/>
            </w:tcBorders>
          </w:tcPr>
          <w:p w:rsidR="003A6FF2" w:rsidRPr="00A54E24" w:rsidRDefault="003A6FF2" w:rsidP="00E82628">
            <w:pPr>
              <w:autoSpaceDE w:val="0"/>
              <w:autoSpaceDN w:val="0"/>
              <w:adjustRightInd w:val="0"/>
              <w:jc w:val="both"/>
              <w:rPr>
                <w:b/>
                <w:color w:val="000000"/>
                <w:sz w:val="16"/>
                <w:szCs w:val="16"/>
                <w:shd w:val="clear" w:color="auto" w:fill="FFFFFF"/>
              </w:rPr>
            </w:pPr>
            <w:r>
              <w:rPr>
                <w:b/>
                <w:color w:val="000000"/>
                <w:sz w:val="16"/>
                <w:szCs w:val="16"/>
                <w:shd w:val="clear" w:color="auto" w:fill="FFFFFF"/>
              </w:rPr>
              <w:t>Total</w:t>
            </w:r>
          </w:p>
        </w:tc>
        <w:tc>
          <w:tcPr>
            <w:tcW w:w="127" w:type="pct"/>
            <w:tcBorders>
              <w:top w:val="single" w:sz="4" w:space="0" w:color="auto"/>
            </w:tcBorders>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Borders>
              <w:top w:val="single" w:sz="4" w:space="0" w:color="auto"/>
            </w:tcBorders>
            <w:vAlign w:val="bottom"/>
          </w:tcPr>
          <w:p w:rsidR="003A6FF2" w:rsidRPr="00D66AC0" w:rsidRDefault="003A6FF2" w:rsidP="000978C7">
            <w:pPr>
              <w:jc w:val="center"/>
              <w:rPr>
                <w:rFonts w:ascii="Calibri" w:hAnsi="Calibri"/>
                <w:color w:val="000000"/>
                <w:sz w:val="16"/>
                <w:szCs w:val="16"/>
              </w:rPr>
            </w:pPr>
            <w:r w:rsidRPr="00D66AC0">
              <w:rPr>
                <w:rFonts w:ascii="Calibri" w:hAnsi="Calibri"/>
                <w:color w:val="000000"/>
                <w:sz w:val="16"/>
                <w:szCs w:val="16"/>
              </w:rPr>
              <w:t>402</w:t>
            </w:r>
          </w:p>
        </w:tc>
        <w:tc>
          <w:tcPr>
            <w:tcW w:w="432" w:type="pct"/>
            <w:tcBorders>
              <w:top w:val="single" w:sz="4" w:space="0" w:color="auto"/>
            </w:tcBorders>
            <w:vAlign w:val="bottom"/>
          </w:tcPr>
          <w:p w:rsidR="003A6FF2" w:rsidRPr="00D66AC0" w:rsidRDefault="003A6FF2" w:rsidP="000978C7">
            <w:pPr>
              <w:jc w:val="center"/>
              <w:rPr>
                <w:rFonts w:ascii="Calibri" w:hAnsi="Calibri"/>
                <w:color w:val="000000"/>
                <w:sz w:val="16"/>
                <w:szCs w:val="16"/>
              </w:rPr>
            </w:pPr>
            <w:r w:rsidRPr="00D66AC0">
              <w:rPr>
                <w:rFonts w:ascii="Calibri" w:hAnsi="Calibri"/>
                <w:color w:val="000000"/>
                <w:sz w:val="16"/>
                <w:szCs w:val="16"/>
              </w:rPr>
              <w:t>58054</w:t>
            </w:r>
          </w:p>
        </w:tc>
        <w:tc>
          <w:tcPr>
            <w:tcW w:w="288" w:type="pct"/>
            <w:tcBorders>
              <w:top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132" w:type="pct"/>
            <w:tcBorders>
              <w:top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tcBorders>
              <w:top w:val="single" w:sz="4" w:space="0" w:color="auto"/>
            </w:tcBorders>
          </w:tcPr>
          <w:p w:rsidR="003A6FF2" w:rsidRPr="00A54E24" w:rsidRDefault="000978C7" w:rsidP="000978C7">
            <w:pPr>
              <w:autoSpaceDE w:val="0"/>
              <w:autoSpaceDN w:val="0"/>
              <w:adjustRightInd w:val="0"/>
              <w:jc w:val="center"/>
              <w:rPr>
                <w:b/>
                <w:color w:val="000000"/>
                <w:sz w:val="16"/>
                <w:szCs w:val="16"/>
                <w:shd w:val="clear" w:color="auto" w:fill="FFFFFF"/>
              </w:rPr>
            </w:pPr>
            <w:r w:rsidRPr="00D66AC0">
              <w:rPr>
                <w:rFonts w:ascii="Calibri" w:hAnsi="Calibri"/>
                <w:color w:val="000000"/>
                <w:sz w:val="16"/>
                <w:szCs w:val="16"/>
              </w:rPr>
              <w:t>402</w:t>
            </w:r>
          </w:p>
        </w:tc>
        <w:tc>
          <w:tcPr>
            <w:tcW w:w="560" w:type="pct"/>
            <w:tcBorders>
              <w:top w:val="single" w:sz="4" w:space="0" w:color="auto"/>
            </w:tcBorders>
            <w:vAlign w:val="bottom"/>
          </w:tcPr>
          <w:p w:rsidR="003A6FF2" w:rsidRPr="0024653B" w:rsidRDefault="003A6FF2" w:rsidP="000978C7">
            <w:pPr>
              <w:jc w:val="center"/>
              <w:rPr>
                <w:rFonts w:ascii="Calibri" w:hAnsi="Calibri"/>
                <w:color w:val="000000"/>
                <w:sz w:val="16"/>
              </w:rPr>
            </w:pPr>
            <w:r w:rsidRPr="0024653B">
              <w:rPr>
                <w:rFonts w:ascii="Calibri" w:hAnsi="Calibri"/>
                <w:color w:val="000000"/>
                <w:sz w:val="16"/>
              </w:rPr>
              <w:t>58060.07</w:t>
            </w:r>
          </w:p>
        </w:tc>
        <w:tc>
          <w:tcPr>
            <w:tcW w:w="326" w:type="pct"/>
            <w:tcBorders>
              <w:top w:val="single" w:sz="4" w:space="0" w:color="auto"/>
            </w:tcBorders>
            <w:vAlign w:val="bottom"/>
          </w:tcPr>
          <w:p w:rsidR="003A6FF2" w:rsidRPr="0024653B" w:rsidRDefault="003A6FF2" w:rsidP="000978C7">
            <w:pPr>
              <w:jc w:val="center"/>
              <w:rPr>
                <w:rFonts w:ascii="Calibri" w:hAnsi="Calibri"/>
                <w:color w:val="000000"/>
                <w:sz w:val="16"/>
              </w:rPr>
            </w:pPr>
            <w:r w:rsidRPr="0024653B">
              <w:rPr>
                <w:rFonts w:ascii="Calibri" w:hAnsi="Calibri"/>
                <w:color w:val="000000"/>
                <w:sz w:val="16"/>
              </w:rPr>
              <w:t>3682</w:t>
            </w:r>
          </w:p>
        </w:tc>
        <w:tc>
          <w:tcPr>
            <w:tcW w:w="187" w:type="pct"/>
            <w:tcBorders>
              <w:top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Borders>
              <w:top w:val="single" w:sz="4" w:space="0" w:color="auto"/>
            </w:tcBorders>
            <w:vAlign w:val="bottom"/>
          </w:tcPr>
          <w:p w:rsidR="003A6FF2" w:rsidRPr="00A54E24" w:rsidRDefault="000978C7" w:rsidP="000978C7">
            <w:pPr>
              <w:jc w:val="center"/>
              <w:rPr>
                <w:rFonts w:ascii="Calibri" w:hAnsi="Calibri"/>
                <w:b/>
                <w:color w:val="000000"/>
                <w:sz w:val="16"/>
                <w:szCs w:val="16"/>
              </w:rPr>
            </w:pPr>
            <w:r w:rsidRPr="00D66AC0">
              <w:rPr>
                <w:rFonts w:ascii="Calibri" w:hAnsi="Calibri"/>
                <w:color w:val="000000"/>
                <w:sz w:val="16"/>
                <w:szCs w:val="16"/>
              </w:rPr>
              <w:t>40</w:t>
            </w:r>
            <w:r>
              <w:rPr>
                <w:rFonts w:ascii="Calibri" w:hAnsi="Calibri"/>
                <w:color w:val="000000"/>
                <w:sz w:val="16"/>
                <w:szCs w:val="16"/>
              </w:rPr>
              <w:t>8</w:t>
            </w:r>
          </w:p>
        </w:tc>
        <w:tc>
          <w:tcPr>
            <w:tcW w:w="561" w:type="pct"/>
            <w:gridSpan w:val="2"/>
            <w:tcBorders>
              <w:top w:val="single" w:sz="4" w:space="0" w:color="auto"/>
            </w:tcBorders>
            <w:vAlign w:val="bottom"/>
          </w:tcPr>
          <w:p w:rsidR="003A6FF2" w:rsidRPr="008E1A41" w:rsidRDefault="003A6FF2" w:rsidP="000978C7">
            <w:pPr>
              <w:jc w:val="center"/>
              <w:rPr>
                <w:rFonts w:ascii="Calibri" w:hAnsi="Calibri"/>
                <w:color w:val="000000"/>
                <w:sz w:val="16"/>
                <w:szCs w:val="16"/>
              </w:rPr>
            </w:pPr>
            <w:r w:rsidRPr="008E1A41">
              <w:rPr>
                <w:rFonts w:ascii="Calibri" w:hAnsi="Calibri"/>
                <w:color w:val="000000"/>
                <w:sz w:val="16"/>
                <w:szCs w:val="16"/>
              </w:rPr>
              <w:t>57611.53</w:t>
            </w:r>
          </w:p>
        </w:tc>
        <w:tc>
          <w:tcPr>
            <w:tcW w:w="421" w:type="pct"/>
            <w:tcBorders>
              <w:top w:val="single" w:sz="4" w:space="0" w:color="auto"/>
            </w:tcBorders>
          </w:tcPr>
          <w:p w:rsidR="003A6FF2" w:rsidRPr="008E1A41" w:rsidRDefault="003A6FF2" w:rsidP="000978C7">
            <w:pPr>
              <w:jc w:val="center"/>
              <w:rPr>
                <w:rFonts w:ascii="Calibri" w:hAnsi="Calibri"/>
                <w:color w:val="000000"/>
                <w:sz w:val="16"/>
              </w:rPr>
            </w:pPr>
            <w:r w:rsidRPr="008E1A41">
              <w:rPr>
                <w:rFonts w:ascii="Calibri" w:hAnsi="Calibri"/>
                <w:color w:val="000000"/>
                <w:sz w:val="16"/>
              </w:rPr>
              <w:t>77954</w:t>
            </w:r>
          </w:p>
        </w:tc>
        <w:tc>
          <w:tcPr>
            <w:tcW w:w="420" w:type="pct"/>
            <w:tcBorders>
              <w:top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r>
      <w:tr w:rsidR="003A6FF2" w:rsidRPr="00A54E24" w:rsidTr="00E00EFD">
        <w:tc>
          <w:tcPr>
            <w:tcW w:w="478" w:type="pct"/>
            <w:tcBorders>
              <w:bottom w:val="single" w:sz="4" w:space="0" w:color="auto"/>
            </w:tcBorders>
          </w:tcPr>
          <w:p w:rsidR="003A6FF2" w:rsidRPr="00A54E24" w:rsidRDefault="003A6FF2" w:rsidP="00E82628">
            <w:pPr>
              <w:autoSpaceDE w:val="0"/>
              <w:autoSpaceDN w:val="0"/>
              <w:adjustRightInd w:val="0"/>
              <w:jc w:val="both"/>
              <w:rPr>
                <w:b/>
                <w:color w:val="000000"/>
                <w:sz w:val="16"/>
                <w:szCs w:val="16"/>
                <w:shd w:val="clear" w:color="auto" w:fill="FFFFFF"/>
              </w:rPr>
            </w:pPr>
            <w:proofErr w:type="spellStart"/>
            <w:r>
              <w:rPr>
                <w:b/>
                <w:color w:val="000000"/>
                <w:sz w:val="16"/>
                <w:szCs w:val="16"/>
                <w:shd w:val="clear" w:color="auto" w:fill="FFFFFF"/>
              </w:rPr>
              <w:t>Avg</w:t>
            </w:r>
            <w:proofErr w:type="spellEnd"/>
          </w:p>
        </w:tc>
        <w:tc>
          <w:tcPr>
            <w:tcW w:w="127" w:type="pct"/>
            <w:tcBorders>
              <w:bottom w:val="single" w:sz="4" w:space="0" w:color="auto"/>
            </w:tcBorders>
          </w:tcPr>
          <w:p w:rsidR="003A6FF2" w:rsidRPr="00A54E24" w:rsidRDefault="003A6FF2" w:rsidP="00E82628">
            <w:pPr>
              <w:autoSpaceDE w:val="0"/>
              <w:autoSpaceDN w:val="0"/>
              <w:adjustRightInd w:val="0"/>
              <w:jc w:val="both"/>
              <w:rPr>
                <w:b/>
                <w:color w:val="000000"/>
                <w:sz w:val="16"/>
                <w:szCs w:val="16"/>
                <w:shd w:val="clear" w:color="auto" w:fill="FFFFFF"/>
              </w:rPr>
            </w:pPr>
          </w:p>
        </w:tc>
        <w:tc>
          <w:tcPr>
            <w:tcW w:w="501" w:type="pct"/>
            <w:tcBorders>
              <w:bottom w:val="single" w:sz="4" w:space="0" w:color="auto"/>
            </w:tcBorders>
            <w:vAlign w:val="bottom"/>
          </w:tcPr>
          <w:p w:rsidR="003A6FF2" w:rsidRPr="00A54E24" w:rsidRDefault="003A6FF2" w:rsidP="000978C7">
            <w:pPr>
              <w:jc w:val="center"/>
              <w:rPr>
                <w:rFonts w:ascii="Calibri" w:hAnsi="Calibri"/>
                <w:b/>
                <w:color w:val="000000"/>
                <w:sz w:val="16"/>
                <w:szCs w:val="16"/>
              </w:rPr>
            </w:pPr>
          </w:p>
        </w:tc>
        <w:tc>
          <w:tcPr>
            <w:tcW w:w="432" w:type="pct"/>
            <w:tcBorders>
              <w:bottom w:val="single" w:sz="4" w:space="0" w:color="auto"/>
            </w:tcBorders>
            <w:vAlign w:val="bottom"/>
          </w:tcPr>
          <w:p w:rsidR="003A6FF2" w:rsidRPr="00D66AC0" w:rsidRDefault="003A6FF2" w:rsidP="000978C7">
            <w:pPr>
              <w:jc w:val="center"/>
              <w:rPr>
                <w:rFonts w:ascii="Calibri" w:hAnsi="Calibri"/>
                <w:color w:val="000000"/>
                <w:sz w:val="16"/>
                <w:szCs w:val="16"/>
              </w:rPr>
            </w:pPr>
            <w:r w:rsidRPr="00D66AC0">
              <w:rPr>
                <w:rFonts w:ascii="Calibri" w:hAnsi="Calibri"/>
                <w:color w:val="000000"/>
                <w:sz w:val="16"/>
                <w:szCs w:val="16"/>
              </w:rPr>
              <w:t>1036.68</w:t>
            </w:r>
          </w:p>
        </w:tc>
        <w:tc>
          <w:tcPr>
            <w:tcW w:w="288"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132"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326"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560" w:type="pct"/>
            <w:tcBorders>
              <w:bottom w:val="single" w:sz="4" w:space="0" w:color="auto"/>
            </w:tcBorders>
            <w:vAlign w:val="bottom"/>
          </w:tcPr>
          <w:p w:rsidR="003A6FF2" w:rsidRPr="0024653B" w:rsidRDefault="003A6FF2" w:rsidP="000978C7">
            <w:pPr>
              <w:jc w:val="center"/>
              <w:rPr>
                <w:rFonts w:ascii="Calibri" w:hAnsi="Calibri"/>
                <w:color w:val="000000"/>
                <w:sz w:val="16"/>
              </w:rPr>
            </w:pPr>
            <w:r w:rsidRPr="0024653B">
              <w:rPr>
                <w:rFonts w:ascii="Calibri" w:hAnsi="Calibri"/>
                <w:color w:val="000000"/>
                <w:sz w:val="16"/>
              </w:rPr>
              <w:t>1036.787</w:t>
            </w:r>
          </w:p>
        </w:tc>
        <w:tc>
          <w:tcPr>
            <w:tcW w:w="326" w:type="pct"/>
            <w:tcBorders>
              <w:bottom w:val="single" w:sz="4" w:space="0" w:color="auto"/>
            </w:tcBorders>
            <w:vAlign w:val="bottom"/>
          </w:tcPr>
          <w:p w:rsidR="003A6FF2" w:rsidRPr="0024653B" w:rsidRDefault="003A6FF2" w:rsidP="000978C7">
            <w:pPr>
              <w:jc w:val="center"/>
              <w:rPr>
                <w:rFonts w:ascii="Calibri" w:hAnsi="Calibri"/>
                <w:color w:val="000000"/>
                <w:sz w:val="16"/>
              </w:rPr>
            </w:pPr>
            <w:r w:rsidRPr="0024653B">
              <w:rPr>
                <w:rFonts w:ascii="Calibri" w:hAnsi="Calibri"/>
                <w:color w:val="000000"/>
                <w:sz w:val="16"/>
              </w:rPr>
              <w:t>65.75</w:t>
            </w:r>
          </w:p>
        </w:tc>
        <w:tc>
          <w:tcPr>
            <w:tcW w:w="187" w:type="pct"/>
            <w:tcBorders>
              <w:bottom w:val="single" w:sz="4" w:space="0" w:color="auto"/>
            </w:tcBorders>
          </w:tcPr>
          <w:p w:rsidR="003A6FF2" w:rsidRPr="00A54E24" w:rsidRDefault="003A6FF2" w:rsidP="000978C7">
            <w:pPr>
              <w:autoSpaceDE w:val="0"/>
              <w:autoSpaceDN w:val="0"/>
              <w:adjustRightInd w:val="0"/>
              <w:jc w:val="center"/>
              <w:rPr>
                <w:b/>
                <w:color w:val="000000"/>
                <w:sz w:val="16"/>
                <w:szCs w:val="16"/>
                <w:shd w:val="clear" w:color="auto" w:fill="FFFFFF"/>
              </w:rPr>
            </w:pPr>
          </w:p>
        </w:tc>
        <w:tc>
          <w:tcPr>
            <w:tcW w:w="240" w:type="pct"/>
            <w:tcBorders>
              <w:bottom w:val="single" w:sz="4" w:space="0" w:color="auto"/>
            </w:tcBorders>
            <w:vAlign w:val="bottom"/>
          </w:tcPr>
          <w:p w:rsidR="003A6FF2" w:rsidRPr="00A54E24" w:rsidRDefault="003A6FF2" w:rsidP="000978C7">
            <w:pPr>
              <w:jc w:val="center"/>
              <w:rPr>
                <w:rFonts w:ascii="Calibri" w:hAnsi="Calibri"/>
                <w:b/>
                <w:color w:val="000000"/>
                <w:sz w:val="16"/>
                <w:szCs w:val="16"/>
              </w:rPr>
            </w:pPr>
          </w:p>
        </w:tc>
        <w:tc>
          <w:tcPr>
            <w:tcW w:w="561" w:type="pct"/>
            <w:gridSpan w:val="2"/>
            <w:tcBorders>
              <w:bottom w:val="single" w:sz="4" w:space="0" w:color="auto"/>
            </w:tcBorders>
            <w:vAlign w:val="bottom"/>
          </w:tcPr>
          <w:p w:rsidR="003A6FF2" w:rsidRPr="008E1A41" w:rsidRDefault="003A6FF2" w:rsidP="000978C7">
            <w:pPr>
              <w:jc w:val="center"/>
              <w:rPr>
                <w:rFonts w:ascii="Calibri" w:hAnsi="Calibri"/>
                <w:color w:val="000000"/>
              </w:rPr>
            </w:pPr>
            <w:r w:rsidRPr="008E1A41">
              <w:rPr>
                <w:rFonts w:ascii="Calibri" w:hAnsi="Calibri"/>
                <w:color w:val="000000"/>
                <w:sz w:val="16"/>
              </w:rPr>
              <w:t>1028.7</w:t>
            </w:r>
            <w:r>
              <w:rPr>
                <w:rFonts w:ascii="Calibri" w:hAnsi="Calibri"/>
                <w:color w:val="000000"/>
                <w:sz w:val="16"/>
              </w:rPr>
              <w:t>8</w:t>
            </w:r>
          </w:p>
        </w:tc>
        <w:tc>
          <w:tcPr>
            <w:tcW w:w="421" w:type="pct"/>
            <w:tcBorders>
              <w:bottom w:val="single" w:sz="4" w:space="0" w:color="auto"/>
            </w:tcBorders>
          </w:tcPr>
          <w:p w:rsidR="003A6FF2" w:rsidRPr="008E1A41" w:rsidRDefault="003A6FF2" w:rsidP="000978C7">
            <w:pPr>
              <w:jc w:val="center"/>
              <w:rPr>
                <w:rFonts w:ascii="Calibri" w:hAnsi="Calibri"/>
                <w:color w:val="000000"/>
                <w:sz w:val="16"/>
                <w:szCs w:val="16"/>
              </w:rPr>
            </w:pPr>
            <w:r w:rsidRPr="008E1A41">
              <w:rPr>
                <w:rFonts w:ascii="Calibri" w:hAnsi="Calibri"/>
                <w:color w:val="000000"/>
                <w:sz w:val="16"/>
                <w:szCs w:val="16"/>
              </w:rPr>
              <w:t>1392.04</w:t>
            </w:r>
          </w:p>
        </w:tc>
        <w:tc>
          <w:tcPr>
            <w:tcW w:w="420" w:type="pct"/>
            <w:tcBorders>
              <w:bottom w:val="single" w:sz="4" w:space="0" w:color="auto"/>
            </w:tcBorders>
          </w:tcPr>
          <w:p w:rsidR="003A6FF2" w:rsidRPr="00922B2D" w:rsidRDefault="003A6FF2" w:rsidP="000978C7">
            <w:pPr>
              <w:autoSpaceDE w:val="0"/>
              <w:autoSpaceDN w:val="0"/>
              <w:adjustRightInd w:val="0"/>
              <w:jc w:val="center"/>
              <w:rPr>
                <w:color w:val="000000"/>
                <w:sz w:val="16"/>
                <w:szCs w:val="16"/>
                <w:shd w:val="clear" w:color="auto" w:fill="FFFFFF"/>
              </w:rPr>
            </w:pPr>
            <w:r w:rsidRPr="00922B2D">
              <w:rPr>
                <w:color w:val="000000"/>
                <w:sz w:val="16"/>
                <w:szCs w:val="16"/>
                <w:shd w:val="clear" w:color="auto" w:fill="FFFFFF"/>
              </w:rPr>
              <w:t>-0.78</w:t>
            </w:r>
          </w:p>
        </w:tc>
      </w:tr>
    </w:tbl>
    <w:p w:rsidR="00E2544C" w:rsidRPr="00DA4B35" w:rsidRDefault="00E2544C" w:rsidP="00E2544C">
      <w:pPr>
        <w:autoSpaceDE w:val="0"/>
        <w:autoSpaceDN w:val="0"/>
        <w:adjustRightInd w:val="0"/>
        <w:spacing w:after="0"/>
        <w:jc w:val="both"/>
        <w:rPr>
          <w:lang w:val="el-GR"/>
        </w:rPr>
      </w:pPr>
    </w:p>
    <w:p w:rsidR="005A40B1" w:rsidRDefault="00B56078" w:rsidP="00F00EA5">
      <w:pPr>
        <w:autoSpaceDE w:val="0"/>
        <w:autoSpaceDN w:val="0"/>
        <w:adjustRightInd w:val="0"/>
        <w:spacing w:after="0"/>
        <w:ind w:firstLine="720"/>
        <w:jc w:val="both"/>
        <w:rPr>
          <w:color w:val="000000"/>
          <w:shd w:val="clear" w:color="auto" w:fill="FFFFFF"/>
        </w:rPr>
      </w:pPr>
      <w:bookmarkStart w:id="273" w:name="OLE_LINK585"/>
      <w:bookmarkStart w:id="274" w:name="OLE_LINK586"/>
      <w:bookmarkEnd w:id="214"/>
      <w:bookmarkEnd w:id="215"/>
      <w:bookmarkEnd w:id="216"/>
      <w:r>
        <w:rPr>
          <w:color w:val="000000"/>
          <w:shd w:val="clear" w:color="auto" w:fill="FFFFFF"/>
        </w:rPr>
        <w:lastRenderedPageBreak/>
        <w:t>T</w:t>
      </w:r>
      <w:r w:rsidRPr="00CD7C25">
        <w:rPr>
          <w:shd w:val="clear" w:color="auto" w:fill="FFFFFF"/>
        </w:rPr>
        <w:t xml:space="preserve">he computational results </w:t>
      </w:r>
      <w:r>
        <w:rPr>
          <w:shd w:val="clear" w:color="auto" w:fill="FFFFFF"/>
        </w:rPr>
        <w:t xml:space="preserve">obtained </w:t>
      </w:r>
      <w:r w:rsidR="0058018B">
        <w:rPr>
          <w:shd w:val="clear" w:color="auto" w:fill="FFFFFF"/>
        </w:rPr>
        <w:t xml:space="preserve">for </w:t>
      </w:r>
      <w:r w:rsidR="00F238DA" w:rsidRPr="00CD7C25">
        <w:rPr>
          <w:shd w:val="clear" w:color="auto" w:fill="FFFFFF"/>
        </w:rPr>
        <w:t xml:space="preserve">the benchmark data set of </w:t>
      </w:r>
      <w:proofErr w:type="spellStart"/>
      <w:r w:rsidR="00F238DA" w:rsidRPr="00CD7C25">
        <w:rPr>
          <w:shd w:val="clear" w:color="auto" w:fill="FFFFFF"/>
        </w:rPr>
        <w:t>Wen</w:t>
      </w:r>
      <w:proofErr w:type="spellEnd"/>
      <w:r w:rsidR="00F238DA" w:rsidRPr="00CD7C25">
        <w:rPr>
          <w:shd w:val="clear" w:color="auto" w:fill="FFFFFF"/>
        </w:rPr>
        <w:t xml:space="preserve"> et al. </w:t>
      </w:r>
      <w:r w:rsidR="00F238DA">
        <w:rPr>
          <w:shd w:val="clear" w:color="auto" w:fill="FFFFFF"/>
        </w:rPr>
        <w:t>(2009)</w:t>
      </w:r>
      <w:r w:rsidR="00A66341">
        <w:rPr>
          <w:shd w:val="clear" w:color="auto" w:fill="FFFFFF"/>
        </w:rPr>
        <w:t xml:space="preserve"> </w:t>
      </w:r>
      <w:r w:rsidRPr="00CD7C25">
        <w:rPr>
          <w:shd w:val="clear" w:color="auto" w:fill="FFFFFF"/>
        </w:rPr>
        <w:t xml:space="preserve">are </w:t>
      </w:r>
      <w:r>
        <w:rPr>
          <w:shd w:val="clear" w:color="auto" w:fill="FFFFFF"/>
        </w:rPr>
        <w:t>summarized</w:t>
      </w:r>
      <w:r>
        <w:rPr>
          <w:color w:val="000000"/>
          <w:shd w:val="clear" w:color="auto" w:fill="FFFFFF"/>
        </w:rPr>
        <w:t xml:space="preserve"> in Table </w:t>
      </w:r>
      <w:r w:rsidR="003A6FF2">
        <w:rPr>
          <w:color w:val="000000"/>
          <w:shd w:val="clear" w:color="auto" w:fill="FFFFFF"/>
        </w:rPr>
        <w:t>2</w:t>
      </w:r>
      <w:r>
        <w:rPr>
          <w:color w:val="000000"/>
          <w:shd w:val="clear" w:color="auto" w:fill="FFFFFF"/>
        </w:rPr>
        <w:t xml:space="preserve">. </w:t>
      </w:r>
      <w:bookmarkStart w:id="275" w:name="OLE_LINK386"/>
      <w:bookmarkStart w:id="276" w:name="OLE_LINK387"/>
      <w:bookmarkEnd w:id="273"/>
      <w:bookmarkEnd w:id="274"/>
      <w:r w:rsidR="00B471B9">
        <w:rPr>
          <w:color w:val="000000"/>
          <w:shd w:val="clear" w:color="auto" w:fill="FFFFFF"/>
        </w:rPr>
        <w:t xml:space="preserve">The first part </w:t>
      </w:r>
      <w:r w:rsidR="005A40B1">
        <w:rPr>
          <w:color w:val="000000"/>
          <w:shd w:val="clear" w:color="auto" w:fill="FFFFFF"/>
        </w:rPr>
        <w:t xml:space="preserve">provides the best known solutions (BKS) of the literature together with the corresponding reference (Ref). Next, the results reported by (W) </w:t>
      </w:r>
      <w:proofErr w:type="spellStart"/>
      <w:r w:rsidR="005A40B1">
        <w:rPr>
          <w:color w:val="000000"/>
          <w:shd w:val="clear" w:color="auto" w:fill="FFFFFF"/>
        </w:rPr>
        <w:t>Wen</w:t>
      </w:r>
      <w:proofErr w:type="spellEnd"/>
      <w:r w:rsidR="005A40B1">
        <w:rPr>
          <w:color w:val="000000"/>
          <w:shd w:val="clear" w:color="auto" w:fill="FFFFFF"/>
        </w:rPr>
        <w:t xml:space="preserve"> et.al (2009), (T) </w:t>
      </w:r>
      <w:proofErr w:type="spellStart"/>
      <w:r w:rsidR="005A40B1" w:rsidRPr="005A40B1">
        <w:rPr>
          <w:color w:val="000000"/>
          <w:shd w:val="clear" w:color="auto" w:fill="FFFFFF"/>
        </w:rPr>
        <w:t>Tarantilis</w:t>
      </w:r>
      <w:proofErr w:type="spellEnd"/>
      <w:r w:rsidR="005A40B1" w:rsidRPr="005A40B1">
        <w:rPr>
          <w:color w:val="000000"/>
          <w:shd w:val="clear" w:color="auto" w:fill="FFFFFF"/>
        </w:rPr>
        <w:t xml:space="preserve"> (2013), </w:t>
      </w:r>
      <w:r w:rsidR="005A40B1">
        <w:rPr>
          <w:color w:val="000000"/>
          <w:shd w:val="clear" w:color="auto" w:fill="FFFFFF"/>
        </w:rPr>
        <w:t xml:space="preserve">and (M) </w:t>
      </w:r>
      <w:proofErr w:type="spellStart"/>
      <w:r w:rsidR="005A40B1" w:rsidRPr="005A40B1">
        <w:rPr>
          <w:color w:val="000000"/>
          <w:shd w:val="clear" w:color="auto" w:fill="FFFFFF"/>
        </w:rPr>
        <w:t>Morais</w:t>
      </w:r>
      <w:proofErr w:type="spellEnd"/>
      <w:r w:rsidR="005A40B1" w:rsidRPr="005A40B1">
        <w:rPr>
          <w:color w:val="000000"/>
          <w:shd w:val="clear" w:color="auto" w:fill="FFFFFF"/>
        </w:rPr>
        <w:t xml:space="preserve"> et al. (2014)</w:t>
      </w:r>
      <w:r w:rsidR="00E413DC">
        <w:rPr>
          <w:color w:val="000000"/>
          <w:shd w:val="clear" w:color="auto" w:fill="FFFFFF"/>
        </w:rPr>
        <w:t xml:space="preserve"> are provided. </w:t>
      </w:r>
      <w:r w:rsidR="004F6CF0">
        <w:rPr>
          <w:color w:val="000000"/>
          <w:shd w:val="clear" w:color="auto" w:fill="FFFFFF"/>
        </w:rPr>
        <w:t xml:space="preserve">The last part of the table contains the best solutions found our Tabu Search (TS) algorithm after 10 simulation runs. Note that </w:t>
      </w:r>
      <w:proofErr w:type="spellStart"/>
      <w:r w:rsidR="004F6CF0" w:rsidRPr="00E2544C">
        <w:rPr>
          <w:color w:val="000000"/>
          <w:shd w:val="clear" w:color="auto" w:fill="FFFFFF"/>
        </w:rPr>
        <w:t>t</w:t>
      </w:r>
      <w:r w:rsidR="004F6CF0" w:rsidRPr="00E2544C">
        <w:rPr>
          <w:color w:val="000000"/>
          <w:shd w:val="clear" w:color="auto" w:fill="FFFFFF"/>
          <w:vertAlign w:val="subscript"/>
        </w:rPr>
        <w:t>sec</w:t>
      </w:r>
      <w:proofErr w:type="spellEnd"/>
      <w:r w:rsidR="004F6CF0">
        <w:rPr>
          <w:color w:val="000000"/>
          <w:shd w:val="clear" w:color="auto" w:fill="FFFFFF"/>
        </w:rPr>
        <w:t xml:space="preserve"> refers to the computation</w:t>
      </w:r>
      <w:r w:rsidR="000978C7">
        <w:rPr>
          <w:color w:val="000000"/>
          <w:shd w:val="clear" w:color="auto" w:fill="FFFFFF"/>
        </w:rPr>
        <w:t>al</w:t>
      </w:r>
      <w:r w:rsidR="004F6CF0">
        <w:rPr>
          <w:color w:val="000000"/>
          <w:shd w:val="clear" w:color="auto" w:fill="FFFFFF"/>
        </w:rPr>
        <w:t xml:space="preserve"> time elapsed to obtain the best soluti</w:t>
      </w:r>
      <w:r w:rsidR="000978C7">
        <w:rPr>
          <w:color w:val="000000"/>
          <w:shd w:val="clear" w:color="auto" w:fill="FFFFFF"/>
        </w:rPr>
        <w:t xml:space="preserve">on from a single simulation run. </w:t>
      </w:r>
      <w:proofErr w:type="spellStart"/>
      <w:r w:rsidR="008F0154">
        <w:rPr>
          <w:color w:val="000000"/>
          <w:shd w:val="clear" w:color="auto" w:fill="FFFFFF"/>
        </w:rPr>
        <w:t>Morais</w:t>
      </w:r>
      <w:proofErr w:type="spellEnd"/>
      <w:r w:rsidR="008F0154">
        <w:rPr>
          <w:color w:val="000000"/>
          <w:shd w:val="clear" w:color="auto" w:fill="FFFFFF"/>
        </w:rPr>
        <w:t xml:space="preserve"> et al. report only the best solution scores obtained for every instance. </w:t>
      </w:r>
      <w:r w:rsidR="008C2194">
        <w:rPr>
          <w:color w:val="000000"/>
          <w:shd w:val="clear" w:color="auto" w:fill="FFFFFF"/>
        </w:rPr>
        <w:t>Finally,</w:t>
      </w:r>
      <w:r w:rsidR="004F6CF0">
        <w:rPr>
          <w:color w:val="000000"/>
          <w:shd w:val="clear" w:color="auto" w:fill="FFFFFF"/>
        </w:rPr>
        <w:t xml:space="preserve"> %</w:t>
      </w:r>
      <w:r w:rsidR="004F6CF0" w:rsidRPr="00E2544C">
        <w:rPr>
          <w:color w:val="000000"/>
          <w:shd w:val="clear" w:color="auto" w:fill="FFFFFF"/>
        </w:rPr>
        <w:t>gap</w:t>
      </w:r>
      <w:r w:rsidR="004F6CF0">
        <w:rPr>
          <w:color w:val="000000"/>
          <w:shd w:val="clear" w:color="auto" w:fill="FFFFFF"/>
        </w:rPr>
        <w:t xml:space="preserve"> refers to the optimality </w:t>
      </w:r>
      <w:r w:rsidR="004F6CF0" w:rsidRPr="00E2544C">
        <w:rPr>
          <w:color w:val="000000"/>
          <w:shd w:val="clear" w:color="auto" w:fill="FFFFFF"/>
        </w:rPr>
        <w:t xml:space="preserve">gap between </w:t>
      </w:r>
      <w:r w:rsidR="004F6CF0">
        <w:rPr>
          <w:color w:val="000000"/>
          <w:shd w:val="clear" w:color="auto" w:fill="FFFFFF"/>
        </w:rPr>
        <w:t xml:space="preserve">the best solutions produced by the TS </w:t>
      </w:r>
      <w:r w:rsidR="004F6CF0" w:rsidRPr="00E2544C">
        <w:rPr>
          <w:color w:val="000000"/>
          <w:shd w:val="clear" w:color="auto" w:fill="FFFFFF"/>
        </w:rPr>
        <w:t>and the BKS</w:t>
      </w:r>
      <w:r w:rsidR="004F6CF0">
        <w:rPr>
          <w:color w:val="000000"/>
          <w:shd w:val="clear" w:color="auto" w:fill="FFFFFF"/>
        </w:rPr>
        <w:t xml:space="preserve">. </w:t>
      </w:r>
      <w:r w:rsidR="008C2194">
        <w:rPr>
          <w:color w:val="000000"/>
          <w:shd w:val="clear" w:color="auto" w:fill="FFFFFF"/>
        </w:rPr>
        <w:t>The</w:t>
      </w:r>
      <w:r w:rsidR="004F6CF0">
        <w:rPr>
          <w:color w:val="000000"/>
          <w:shd w:val="clear" w:color="auto" w:fill="FFFFFF"/>
        </w:rPr>
        <w:t xml:space="preserve"> best overall solutions</w:t>
      </w:r>
      <w:r w:rsidR="008C2194">
        <w:rPr>
          <w:color w:val="000000"/>
          <w:shd w:val="clear" w:color="auto" w:fill="FFFFFF"/>
        </w:rPr>
        <w:t xml:space="preserve"> are highlighted in bold</w:t>
      </w:r>
      <w:r w:rsidR="004F6CF0">
        <w:rPr>
          <w:color w:val="000000"/>
          <w:shd w:val="clear" w:color="auto" w:fill="FFFFFF"/>
        </w:rPr>
        <w:t>.</w:t>
      </w:r>
    </w:p>
    <w:p w:rsidR="00E00EFD" w:rsidRDefault="00E00EFD" w:rsidP="00C13019">
      <w:pPr>
        <w:autoSpaceDE w:val="0"/>
        <w:autoSpaceDN w:val="0"/>
        <w:adjustRightInd w:val="0"/>
        <w:spacing w:after="0"/>
        <w:jc w:val="both"/>
        <w:rPr>
          <w:b/>
          <w:color w:val="000000"/>
          <w:sz w:val="16"/>
          <w:szCs w:val="16"/>
          <w:shd w:val="clear" w:color="auto" w:fill="FFFFFF"/>
        </w:rPr>
      </w:pPr>
    </w:p>
    <w:p w:rsidR="005F05F0" w:rsidRDefault="00E00EFD" w:rsidP="00C13019">
      <w:pPr>
        <w:autoSpaceDE w:val="0"/>
        <w:autoSpaceDN w:val="0"/>
        <w:adjustRightInd w:val="0"/>
        <w:spacing w:after="0"/>
        <w:jc w:val="both"/>
        <w:rPr>
          <w:color w:val="000000"/>
          <w:shd w:val="clear" w:color="auto" w:fill="FFFFFF"/>
        </w:rPr>
      </w:pPr>
      <w:proofErr w:type="gramStart"/>
      <w:r w:rsidRPr="009D2F4F">
        <w:rPr>
          <w:b/>
          <w:color w:val="000000"/>
          <w:sz w:val="20"/>
          <w:szCs w:val="16"/>
          <w:shd w:val="clear" w:color="auto" w:fill="FFFFFF"/>
        </w:rPr>
        <w:t>Table 2.</w:t>
      </w:r>
      <w:proofErr w:type="gramEnd"/>
      <w:r w:rsidRPr="009D2F4F">
        <w:rPr>
          <w:b/>
          <w:color w:val="000000"/>
          <w:sz w:val="20"/>
          <w:szCs w:val="16"/>
          <w:shd w:val="clear" w:color="auto" w:fill="FFFFFF"/>
        </w:rPr>
        <w:t xml:space="preserve"> Detailed results on </w:t>
      </w:r>
      <w:proofErr w:type="spellStart"/>
      <w:r w:rsidRPr="009D2F4F">
        <w:rPr>
          <w:b/>
          <w:color w:val="000000"/>
          <w:sz w:val="20"/>
          <w:szCs w:val="16"/>
          <w:shd w:val="clear" w:color="auto" w:fill="FFFFFF"/>
        </w:rPr>
        <w:t>Wen</w:t>
      </w:r>
      <w:proofErr w:type="spellEnd"/>
      <w:r w:rsidRPr="009D2F4F">
        <w:rPr>
          <w:b/>
          <w:color w:val="000000"/>
          <w:sz w:val="20"/>
          <w:szCs w:val="16"/>
          <w:shd w:val="clear" w:color="auto" w:fill="FFFFFF"/>
        </w:rPr>
        <w:t xml:space="preserve"> et al. (2009) Data Set for the VRPCD</w:t>
      </w:r>
    </w:p>
    <w:tbl>
      <w:tblPr>
        <w:tblStyle w:val="TableGrid"/>
        <w:tblW w:w="954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810"/>
        <w:gridCol w:w="990"/>
        <w:gridCol w:w="450"/>
        <w:gridCol w:w="270"/>
        <w:gridCol w:w="900"/>
        <w:gridCol w:w="990"/>
        <w:gridCol w:w="900"/>
        <w:gridCol w:w="720"/>
        <w:gridCol w:w="900"/>
        <w:gridCol w:w="270"/>
        <w:gridCol w:w="990"/>
        <w:gridCol w:w="720"/>
        <w:gridCol w:w="630"/>
      </w:tblGrid>
      <w:tr w:rsidR="000978C7" w:rsidTr="000978C7">
        <w:tc>
          <w:tcPr>
            <w:tcW w:w="810" w:type="dxa"/>
            <w:tcBorders>
              <w:top w:val="single" w:sz="4" w:space="0" w:color="auto"/>
              <w:bottom w:val="single" w:sz="4" w:space="0" w:color="auto"/>
            </w:tcBorders>
          </w:tcPr>
          <w:p w:rsidR="000978C7" w:rsidRPr="009D2F4F" w:rsidRDefault="000978C7" w:rsidP="00135570">
            <w:pPr>
              <w:autoSpaceDE w:val="0"/>
              <w:autoSpaceDN w:val="0"/>
              <w:adjustRightInd w:val="0"/>
              <w:jc w:val="center"/>
              <w:rPr>
                <w:color w:val="000000"/>
                <w:sz w:val="16"/>
                <w:shd w:val="clear" w:color="auto" w:fill="FFFFFF"/>
              </w:rPr>
            </w:pPr>
          </w:p>
        </w:tc>
        <w:tc>
          <w:tcPr>
            <w:tcW w:w="1440" w:type="dxa"/>
            <w:gridSpan w:val="2"/>
            <w:tcBorders>
              <w:top w:val="single" w:sz="4" w:space="0" w:color="auto"/>
              <w:bottom w:val="single" w:sz="4" w:space="0" w:color="auto"/>
            </w:tcBorders>
          </w:tcPr>
          <w:p w:rsidR="000978C7" w:rsidRPr="009D2F4F" w:rsidRDefault="000978C7" w:rsidP="00135570">
            <w:pPr>
              <w:autoSpaceDE w:val="0"/>
              <w:autoSpaceDN w:val="0"/>
              <w:adjustRightInd w:val="0"/>
              <w:jc w:val="center"/>
              <w:rPr>
                <w:color w:val="000000"/>
                <w:sz w:val="16"/>
                <w:szCs w:val="16"/>
                <w:shd w:val="clear" w:color="auto" w:fill="FFFFFF"/>
              </w:rPr>
            </w:pPr>
            <w:r w:rsidRPr="009D2F4F">
              <w:rPr>
                <w:rFonts w:ascii="Calibri" w:eastAsia="Times New Roman" w:hAnsi="Calibri" w:cs="Times New Roman"/>
                <w:b/>
                <w:color w:val="000000"/>
                <w:sz w:val="16"/>
                <w:szCs w:val="16"/>
              </w:rPr>
              <w:t>BKS</w:t>
            </w:r>
          </w:p>
        </w:tc>
        <w:tc>
          <w:tcPr>
            <w:tcW w:w="270" w:type="dxa"/>
            <w:tcBorders>
              <w:top w:val="nil"/>
              <w:bottom w:val="nil"/>
            </w:tcBorders>
          </w:tcPr>
          <w:p w:rsidR="000978C7" w:rsidRPr="009D2F4F" w:rsidRDefault="000978C7" w:rsidP="00135570">
            <w:pPr>
              <w:autoSpaceDE w:val="0"/>
              <w:autoSpaceDN w:val="0"/>
              <w:adjustRightInd w:val="0"/>
              <w:jc w:val="center"/>
              <w:rPr>
                <w:color w:val="000000"/>
                <w:sz w:val="16"/>
                <w:szCs w:val="16"/>
                <w:shd w:val="clear" w:color="auto" w:fill="FFFFFF"/>
              </w:rPr>
            </w:pPr>
          </w:p>
        </w:tc>
        <w:tc>
          <w:tcPr>
            <w:tcW w:w="1890" w:type="dxa"/>
            <w:gridSpan w:val="2"/>
            <w:tcBorders>
              <w:top w:val="single" w:sz="4" w:space="0" w:color="auto"/>
              <w:bottom w:val="single" w:sz="4" w:space="0" w:color="auto"/>
            </w:tcBorders>
          </w:tcPr>
          <w:p w:rsidR="000978C7" w:rsidRPr="009D2F4F" w:rsidRDefault="000978C7" w:rsidP="00135570">
            <w:pPr>
              <w:autoSpaceDE w:val="0"/>
              <w:autoSpaceDN w:val="0"/>
              <w:adjustRightInd w:val="0"/>
              <w:jc w:val="center"/>
              <w:rPr>
                <w:color w:val="000000"/>
                <w:sz w:val="16"/>
                <w:szCs w:val="16"/>
                <w:shd w:val="clear" w:color="auto" w:fill="FFFFFF"/>
              </w:rPr>
            </w:pPr>
            <w:proofErr w:type="spellStart"/>
            <w:r w:rsidRPr="009D2F4F">
              <w:rPr>
                <w:rFonts w:eastAsia="Times New Roman" w:cs="Times New Roman"/>
                <w:b/>
                <w:color w:val="000000"/>
                <w:sz w:val="16"/>
                <w:szCs w:val="16"/>
              </w:rPr>
              <w:t>Wen</w:t>
            </w:r>
            <w:proofErr w:type="spellEnd"/>
            <w:r w:rsidRPr="009D2F4F">
              <w:rPr>
                <w:rFonts w:eastAsia="Times New Roman" w:cs="Times New Roman"/>
                <w:b/>
                <w:color w:val="000000"/>
                <w:sz w:val="16"/>
                <w:szCs w:val="16"/>
              </w:rPr>
              <w:t xml:space="preserve"> et.al (2009)</w:t>
            </w:r>
          </w:p>
        </w:tc>
        <w:tc>
          <w:tcPr>
            <w:tcW w:w="1620" w:type="dxa"/>
            <w:gridSpan w:val="2"/>
            <w:tcBorders>
              <w:top w:val="single" w:sz="4" w:space="0" w:color="auto"/>
              <w:bottom w:val="single" w:sz="4" w:space="0" w:color="auto"/>
            </w:tcBorders>
          </w:tcPr>
          <w:p w:rsidR="000978C7" w:rsidRPr="009D2F4F" w:rsidRDefault="000978C7" w:rsidP="00135570">
            <w:pPr>
              <w:autoSpaceDE w:val="0"/>
              <w:autoSpaceDN w:val="0"/>
              <w:adjustRightInd w:val="0"/>
              <w:jc w:val="center"/>
              <w:rPr>
                <w:color w:val="000000"/>
                <w:sz w:val="16"/>
                <w:shd w:val="clear" w:color="auto" w:fill="FFFFFF"/>
              </w:rPr>
            </w:pPr>
            <w:proofErr w:type="spellStart"/>
            <w:r w:rsidRPr="009D2F4F">
              <w:rPr>
                <w:rFonts w:eastAsia="Times New Roman" w:cs="Times New Roman"/>
                <w:b/>
                <w:color w:val="000000"/>
                <w:sz w:val="16"/>
                <w:szCs w:val="16"/>
              </w:rPr>
              <w:t>Tarantilis</w:t>
            </w:r>
            <w:proofErr w:type="spellEnd"/>
            <w:r w:rsidRPr="009D2F4F">
              <w:rPr>
                <w:rFonts w:eastAsia="Times New Roman" w:cs="Times New Roman"/>
                <w:b/>
                <w:color w:val="000000"/>
                <w:sz w:val="16"/>
                <w:szCs w:val="16"/>
              </w:rPr>
              <w:t xml:space="preserve"> (2013)</w:t>
            </w:r>
          </w:p>
        </w:tc>
        <w:tc>
          <w:tcPr>
            <w:tcW w:w="900" w:type="dxa"/>
            <w:tcBorders>
              <w:top w:val="single" w:sz="4" w:space="0" w:color="auto"/>
              <w:bottom w:val="single" w:sz="4" w:space="0" w:color="auto"/>
            </w:tcBorders>
          </w:tcPr>
          <w:p w:rsidR="000978C7" w:rsidRPr="009D2F4F" w:rsidRDefault="000978C7" w:rsidP="00135570">
            <w:pPr>
              <w:autoSpaceDE w:val="0"/>
              <w:autoSpaceDN w:val="0"/>
              <w:adjustRightInd w:val="0"/>
              <w:jc w:val="center"/>
              <w:rPr>
                <w:rFonts w:eastAsia="Times New Roman" w:cs="Times New Roman"/>
                <w:b/>
                <w:color w:val="000000"/>
                <w:sz w:val="16"/>
                <w:szCs w:val="16"/>
              </w:rPr>
            </w:pPr>
            <w:proofErr w:type="spellStart"/>
            <w:r w:rsidRPr="009D2F4F">
              <w:rPr>
                <w:rFonts w:eastAsia="Times New Roman" w:cs="Times New Roman"/>
                <w:b/>
                <w:color w:val="000000"/>
                <w:sz w:val="16"/>
                <w:szCs w:val="16"/>
              </w:rPr>
              <w:t>Morais</w:t>
            </w:r>
            <w:proofErr w:type="spellEnd"/>
            <w:r w:rsidRPr="009D2F4F">
              <w:rPr>
                <w:rFonts w:eastAsia="Times New Roman" w:cs="Times New Roman"/>
                <w:b/>
                <w:color w:val="000000"/>
                <w:sz w:val="16"/>
                <w:szCs w:val="16"/>
              </w:rPr>
              <w:t xml:space="preserve"> et al. (2014)</w:t>
            </w:r>
          </w:p>
        </w:tc>
        <w:tc>
          <w:tcPr>
            <w:tcW w:w="270" w:type="dxa"/>
            <w:tcBorders>
              <w:top w:val="nil"/>
              <w:bottom w:val="nil"/>
            </w:tcBorders>
          </w:tcPr>
          <w:p w:rsidR="000978C7" w:rsidRPr="009D2F4F" w:rsidRDefault="000978C7" w:rsidP="00135570">
            <w:pPr>
              <w:autoSpaceDE w:val="0"/>
              <w:autoSpaceDN w:val="0"/>
              <w:adjustRightInd w:val="0"/>
              <w:jc w:val="center"/>
              <w:rPr>
                <w:rFonts w:eastAsia="Times New Roman" w:cs="Times New Roman"/>
                <w:b/>
                <w:color w:val="000000"/>
                <w:sz w:val="16"/>
                <w:szCs w:val="16"/>
              </w:rPr>
            </w:pPr>
          </w:p>
        </w:tc>
        <w:tc>
          <w:tcPr>
            <w:tcW w:w="2340" w:type="dxa"/>
            <w:gridSpan w:val="3"/>
            <w:tcBorders>
              <w:top w:val="single" w:sz="4" w:space="0" w:color="auto"/>
              <w:bottom w:val="single" w:sz="4" w:space="0" w:color="auto"/>
            </w:tcBorders>
          </w:tcPr>
          <w:p w:rsidR="000978C7" w:rsidRPr="009D2F4F" w:rsidRDefault="000978C7" w:rsidP="00135570">
            <w:pPr>
              <w:autoSpaceDE w:val="0"/>
              <w:autoSpaceDN w:val="0"/>
              <w:adjustRightInd w:val="0"/>
              <w:jc w:val="center"/>
              <w:rPr>
                <w:rFonts w:eastAsia="Times New Roman" w:cs="Times New Roman"/>
                <w:b/>
                <w:color w:val="000000"/>
                <w:sz w:val="16"/>
                <w:szCs w:val="16"/>
              </w:rPr>
            </w:pPr>
            <w:r w:rsidRPr="009D2F4F">
              <w:rPr>
                <w:rFonts w:eastAsia="Times New Roman" w:cs="Times New Roman"/>
                <w:b/>
                <w:color w:val="000000"/>
                <w:sz w:val="16"/>
                <w:szCs w:val="16"/>
              </w:rPr>
              <w:t>TS</w:t>
            </w:r>
          </w:p>
        </w:tc>
      </w:tr>
      <w:tr w:rsidR="005F05F0" w:rsidTr="000978C7">
        <w:tc>
          <w:tcPr>
            <w:tcW w:w="81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rPr>
            </w:pPr>
            <w:r w:rsidRPr="009D2F4F">
              <w:rPr>
                <w:b/>
                <w:color w:val="000000"/>
                <w:sz w:val="16"/>
                <w:szCs w:val="16"/>
                <w:shd w:val="clear" w:color="auto" w:fill="FFFFFF"/>
              </w:rPr>
              <w:t>Instance</w:t>
            </w:r>
          </w:p>
        </w:tc>
        <w:tc>
          <w:tcPr>
            <w:tcW w:w="990" w:type="dxa"/>
            <w:tcBorders>
              <w:top w:val="nil"/>
              <w:bottom w:val="single" w:sz="4" w:space="0" w:color="auto"/>
            </w:tcBorders>
          </w:tcPr>
          <w:p w:rsidR="005F05F0" w:rsidRPr="009D2F4F" w:rsidRDefault="005F05F0" w:rsidP="00135570">
            <w:pPr>
              <w:jc w:val="center"/>
              <w:rPr>
                <w:rFonts w:ascii="Calibri" w:eastAsia="Times New Roman" w:hAnsi="Calibri" w:cs="Times New Roman"/>
                <w:b/>
                <w:color w:val="000000"/>
                <w:sz w:val="16"/>
                <w:szCs w:val="16"/>
              </w:rPr>
            </w:pPr>
            <w:r w:rsidRPr="009D2F4F">
              <w:rPr>
                <w:rFonts w:ascii="Calibri" w:eastAsia="Times New Roman" w:hAnsi="Calibri" w:cs="Times New Roman"/>
                <w:b/>
                <w:color w:val="000000"/>
                <w:sz w:val="16"/>
                <w:szCs w:val="16"/>
              </w:rPr>
              <w:t>z</w:t>
            </w:r>
          </w:p>
        </w:tc>
        <w:tc>
          <w:tcPr>
            <w:tcW w:w="450" w:type="dxa"/>
            <w:tcBorders>
              <w:top w:val="nil"/>
              <w:bottom w:val="single" w:sz="4" w:space="0" w:color="auto"/>
            </w:tcBorders>
          </w:tcPr>
          <w:p w:rsidR="005F05F0" w:rsidRPr="009D2F4F" w:rsidRDefault="005F05F0" w:rsidP="00135570">
            <w:pPr>
              <w:jc w:val="center"/>
              <w:rPr>
                <w:rFonts w:ascii="Calibri" w:eastAsia="Times New Roman" w:hAnsi="Calibri" w:cs="Times New Roman"/>
                <w:b/>
                <w:color w:val="000000"/>
                <w:sz w:val="16"/>
                <w:szCs w:val="16"/>
              </w:rPr>
            </w:pPr>
            <w:r w:rsidRPr="009D2F4F">
              <w:rPr>
                <w:rFonts w:ascii="Calibri" w:eastAsia="Times New Roman" w:hAnsi="Calibri" w:cs="Times New Roman"/>
                <w:b/>
                <w:color w:val="000000"/>
                <w:sz w:val="16"/>
                <w:szCs w:val="16"/>
              </w:rPr>
              <w:t>Ref</w:t>
            </w:r>
          </w:p>
        </w:tc>
        <w:tc>
          <w:tcPr>
            <w:tcW w:w="270" w:type="dxa"/>
            <w:tcBorders>
              <w:top w:val="nil"/>
              <w:bottom w:val="nil"/>
            </w:tcBorders>
          </w:tcPr>
          <w:p w:rsidR="005F05F0" w:rsidRPr="009D2F4F" w:rsidRDefault="005F05F0" w:rsidP="00135570">
            <w:pPr>
              <w:autoSpaceDE w:val="0"/>
              <w:autoSpaceDN w:val="0"/>
              <w:adjustRightInd w:val="0"/>
              <w:jc w:val="center"/>
              <w:rPr>
                <w:color w:val="000000"/>
                <w:sz w:val="16"/>
                <w:szCs w:val="16"/>
                <w:shd w:val="clear" w:color="auto" w:fill="FFFFFF"/>
              </w:rPr>
            </w:pPr>
          </w:p>
        </w:tc>
        <w:tc>
          <w:tcPr>
            <w:tcW w:w="90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rPr>
            </w:pPr>
            <w:r w:rsidRPr="009D2F4F">
              <w:rPr>
                <w:b/>
                <w:color w:val="000000"/>
                <w:sz w:val="16"/>
                <w:szCs w:val="16"/>
                <w:shd w:val="clear" w:color="auto" w:fill="FFFFFF"/>
              </w:rPr>
              <w:t>z</w:t>
            </w:r>
          </w:p>
        </w:tc>
        <w:tc>
          <w:tcPr>
            <w:tcW w:w="99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vertAlign w:val="subscript"/>
              </w:rPr>
            </w:pPr>
            <w:proofErr w:type="spellStart"/>
            <w:r w:rsidRPr="009D2F4F">
              <w:rPr>
                <w:b/>
                <w:color w:val="000000"/>
                <w:sz w:val="16"/>
                <w:szCs w:val="16"/>
                <w:shd w:val="clear" w:color="auto" w:fill="FFFFFF"/>
              </w:rPr>
              <w:t>t</w:t>
            </w:r>
            <w:r w:rsidRPr="009D2F4F">
              <w:rPr>
                <w:b/>
                <w:color w:val="000000"/>
                <w:sz w:val="16"/>
                <w:szCs w:val="16"/>
                <w:shd w:val="clear" w:color="auto" w:fill="FFFFFF"/>
                <w:vertAlign w:val="subscript"/>
              </w:rPr>
              <w:t>sec</w:t>
            </w:r>
            <w:proofErr w:type="spellEnd"/>
          </w:p>
        </w:tc>
        <w:tc>
          <w:tcPr>
            <w:tcW w:w="90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rPr>
            </w:pPr>
            <w:r w:rsidRPr="009D2F4F">
              <w:rPr>
                <w:b/>
                <w:color w:val="000000"/>
                <w:sz w:val="16"/>
                <w:szCs w:val="16"/>
                <w:shd w:val="clear" w:color="auto" w:fill="FFFFFF"/>
              </w:rPr>
              <w:t>z</w:t>
            </w:r>
          </w:p>
        </w:tc>
        <w:tc>
          <w:tcPr>
            <w:tcW w:w="72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vertAlign w:val="subscript"/>
              </w:rPr>
            </w:pPr>
            <w:proofErr w:type="spellStart"/>
            <w:r w:rsidRPr="009D2F4F">
              <w:rPr>
                <w:b/>
                <w:color w:val="000000"/>
                <w:sz w:val="16"/>
                <w:szCs w:val="16"/>
                <w:shd w:val="clear" w:color="auto" w:fill="FFFFFF"/>
              </w:rPr>
              <w:t>t</w:t>
            </w:r>
            <w:r w:rsidRPr="009D2F4F">
              <w:rPr>
                <w:b/>
                <w:color w:val="000000"/>
                <w:sz w:val="16"/>
                <w:szCs w:val="16"/>
                <w:shd w:val="clear" w:color="auto" w:fill="FFFFFF"/>
                <w:vertAlign w:val="subscript"/>
              </w:rPr>
              <w:t>sec</w:t>
            </w:r>
            <w:proofErr w:type="spellEnd"/>
          </w:p>
        </w:tc>
        <w:tc>
          <w:tcPr>
            <w:tcW w:w="900" w:type="dxa"/>
            <w:tcBorders>
              <w:top w:val="nil"/>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rPr>
            </w:pPr>
            <w:r w:rsidRPr="009D2F4F">
              <w:rPr>
                <w:b/>
                <w:color w:val="000000"/>
                <w:sz w:val="16"/>
                <w:szCs w:val="16"/>
                <w:shd w:val="clear" w:color="auto" w:fill="FFFFFF"/>
              </w:rPr>
              <w:t>z</w:t>
            </w:r>
          </w:p>
        </w:tc>
        <w:tc>
          <w:tcPr>
            <w:tcW w:w="270" w:type="dxa"/>
            <w:tcBorders>
              <w:top w:val="nil"/>
              <w:bottom w:val="nil"/>
            </w:tcBorders>
          </w:tcPr>
          <w:p w:rsidR="005F05F0" w:rsidRPr="009D2F4F" w:rsidRDefault="005F05F0" w:rsidP="00135570">
            <w:pPr>
              <w:autoSpaceDE w:val="0"/>
              <w:autoSpaceDN w:val="0"/>
              <w:adjustRightInd w:val="0"/>
              <w:jc w:val="center"/>
              <w:rPr>
                <w:b/>
                <w:color w:val="000000"/>
                <w:sz w:val="16"/>
                <w:szCs w:val="16"/>
                <w:shd w:val="clear" w:color="auto" w:fill="FFFFFF"/>
                <w:vertAlign w:val="subscript"/>
              </w:rPr>
            </w:pPr>
          </w:p>
        </w:tc>
        <w:tc>
          <w:tcPr>
            <w:tcW w:w="990" w:type="dxa"/>
            <w:tcBorders>
              <w:top w:val="single" w:sz="4" w:space="0" w:color="auto"/>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rPr>
            </w:pPr>
            <w:r w:rsidRPr="009D2F4F">
              <w:rPr>
                <w:b/>
                <w:color w:val="000000"/>
                <w:sz w:val="16"/>
                <w:szCs w:val="16"/>
                <w:shd w:val="clear" w:color="auto" w:fill="FFFFFF"/>
              </w:rPr>
              <w:t>z</w:t>
            </w:r>
          </w:p>
        </w:tc>
        <w:tc>
          <w:tcPr>
            <w:tcW w:w="720" w:type="dxa"/>
            <w:tcBorders>
              <w:top w:val="single" w:sz="4" w:space="0" w:color="auto"/>
              <w:bottom w:val="single" w:sz="4" w:space="0" w:color="auto"/>
            </w:tcBorders>
          </w:tcPr>
          <w:p w:rsidR="005F05F0" w:rsidRPr="009D2F4F" w:rsidRDefault="005F05F0" w:rsidP="00135570">
            <w:pPr>
              <w:autoSpaceDE w:val="0"/>
              <w:autoSpaceDN w:val="0"/>
              <w:adjustRightInd w:val="0"/>
              <w:jc w:val="center"/>
              <w:rPr>
                <w:b/>
                <w:color w:val="000000"/>
                <w:sz w:val="16"/>
                <w:szCs w:val="16"/>
                <w:shd w:val="clear" w:color="auto" w:fill="FFFFFF"/>
                <w:vertAlign w:val="subscript"/>
              </w:rPr>
            </w:pPr>
            <w:proofErr w:type="spellStart"/>
            <w:r w:rsidRPr="009D2F4F">
              <w:rPr>
                <w:b/>
                <w:color w:val="000000"/>
                <w:sz w:val="16"/>
                <w:szCs w:val="16"/>
                <w:shd w:val="clear" w:color="auto" w:fill="FFFFFF"/>
              </w:rPr>
              <w:t>t</w:t>
            </w:r>
            <w:r w:rsidRPr="009D2F4F">
              <w:rPr>
                <w:b/>
                <w:color w:val="000000"/>
                <w:sz w:val="16"/>
                <w:szCs w:val="16"/>
                <w:shd w:val="clear" w:color="auto" w:fill="FFFFFF"/>
                <w:vertAlign w:val="subscript"/>
              </w:rPr>
              <w:t>sec</w:t>
            </w:r>
            <w:proofErr w:type="spellEnd"/>
          </w:p>
        </w:tc>
        <w:tc>
          <w:tcPr>
            <w:tcW w:w="630" w:type="dxa"/>
            <w:tcBorders>
              <w:top w:val="single" w:sz="4" w:space="0" w:color="auto"/>
              <w:bottom w:val="single" w:sz="4" w:space="0" w:color="auto"/>
            </w:tcBorders>
          </w:tcPr>
          <w:p w:rsidR="005F05F0" w:rsidRPr="009D2F4F" w:rsidRDefault="005F05F0" w:rsidP="00135570">
            <w:pPr>
              <w:autoSpaceDE w:val="0"/>
              <w:autoSpaceDN w:val="0"/>
              <w:adjustRightInd w:val="0"/>
              <w:jc w:val="center"/>
              <w:rPr>
                <w:rFonts w:ascii="Calibri" w:eastAsia="Times New Roman" w:hAnsi="Calibri" w:cs="Times New Roman"/>
                <w:b/>
                <w:color w:val="000000"/>
                <w:sz w:val="16"/>
                <w:szCs w:val="16"/>
              </w:rPr>
            </w:pPr>
            <w:r w:rsidRPr="009D2F4F">
              <w:rPr>
                <w:rFonts w:ascii="Calibri" w:eastAsia="Times New Roman" w:hAnsi="Calibri" w:cs="Times New Roman"/>
                <w:b/>
                <w:color w:val="000000"/>
                <w:sz w:val="16"/>
                <w:szCs w:val="16"/>
              </w:rPr>
              <w:t>%</w:t>
            </w:r>
          </w:p>
          <w:p w:rsidR="005F05F0" w:rsidRPr="009D2F4F" w:rsidRDefault="005F05F0" w:rsidP="00135570">
            <w:pPr>
              <w:autoSpaceDE w:val="0"/>
              <w:autoSpaceDN w:val="0"/>
              <w:adjustRightInd w:val="0"/>
              <w:jc w:val="center"/>
              <w:rPr>
                <w:color w:val="000000"/>
                <w:sz w:val="16"/>
                <w:szCs w:val="16"/>
                <w:shd w:val="clear" w:color="auto" w:fill="FFFFFF"/>
              </w:rPr>
            </w:pPr>
            <w:r w:rsidRPr="009D2F4F">
              <w:rPr>
                <w:rFonts w:ascii="Calibri" w:eastAsia="Times New Roman" w:hAnsi="Calibri" w:cs="Times New Roman"/>
                <w:b/>
                <w:color w:val="000000"/>
                <w:sz w:val="16"/>
                <w:szCs w:val="16"/>
              </w:rPr>
              <w:t>gap</w:t>
            </w:r>
          </w:p>
        </w:tc>
      </w:tr>
      <w:tr w:rsidR="005F05F0" w:rsidTr="000978C7">
        <w:tc>
          <w:tcPr>
            <w:tcW w:w="810" w:type="dxa"/>
            <w:tcBorders>
              <w:top w:val="single" w:sz="4" w:space="0" w:color="auto"/>
              <w:bottom w:val="nil"/>
            </w:tcBorders>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50a</w:t>
            </w:r>
          </w:p>
        </w:tc>
        <w:tc>
          <w:tcPr>
            <w:tcW w:w="990" w:type="dxa"/>
            <w:tcBorders>
              <w:top w:val="single" w:sz="4" w:space="0" w:color="auto"/>
              <w:bottom w:val="nil"/>
            </w:tcBorders>
          </w:tcPr>
          <w:p w:rsidR="005F05F0" w:rsidRPr="00BF6CF2" w:rsidRDefault="005F05F0" w:rsidP="00135570">
            <w:pPr>
              <w:jc w:val="center"/>
              <w:rPr>
                <w:rFonts w:ascii="Calibri" w:eastAsia="Times New Roman" w:hAnsi="Calibri" w:cs="Times New Roman"/>
                <w:b/>
                <w:color w:val="000000"/>
                <w:sz w:val="16"/>
                <w:szCs w:val="16"/>
              </w:rPr>
            </w:pPr>
            <w:r w:rsidRPr="00BF6CF2">
              <w:rPr>
                <w:rFonts w:ascii="Calibri" w:eastAsia="Times New Roman" w:hAnsi="Calibri" w:cs="Times New Roman"/>
                <w:b/>
                <w:color w:val="000000"/>
                <w:sz w:val="16"/>
                <w:szCs w:val="16"/>
              </w:rPr>
              <w:t>6450.28</w:t>
            </w:r>
          </w:p>
        </w:tc>
        <w:tc>
          <w:tcPr>
            <w:tcW w:w="450" w:type="dxa"/>
            <w:tcBorders>
              <w:top w:val="nil"/>
              <w:bottom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Borders>
              <w:top w:val="nil"/>
              <w:bottom w:val="nil"/>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tcBorders>
              <w:top w:val="single" w:sz="4" w:space="0" w:color="auto"/>
              <w:bottom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6471.90</w:t>
            </w:r>
          </w:p>
        </w:tc>
        <w:tc>
          <w:tcPr>
            <w:tcW w:w="990" w:type="dxa"/>
            <w:tcBorders>
              <w:top w:val="single" w:sz="4" w:space="0" w:color="auto"/>
              <w:bottom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3865</w:t>
            </w:r>
          </w:p>
        </w:tc>
        <w:tc>
          <w:tcPr>
            <w:tcW w:w="900" w:type="dxa"/>
            <w:tcBorders>
              <w:top w:val="nil"/>
              <w:bottom w:val="nil"/>
            </w:tcBorders>
            <w:vAlign w:val="bottom"/>
          </w:tcPr>
          <w:p w:rsidR="005F05F0" w:rsidRPr="005F05F0" w:rsidRDefault="005F05F0" w:rsidP="00135570">
            <w:pPr>
              <w:jc w:val="center"/>
              <w:rPr>
                <w:rFonts w:ascii="Calibri" w:hAnsi="Calibri"/>
                <w:b/>
                <w:color w:val="000000"/>
                <w:sz w:val="16"/>
                <w:szCs w:val="16"/>
              </w:rPr>
            </w:pPr>
            <w:r w:rsidRPr="005F05F0">
              <w:rPr>
                <w:rFonts w:ascii="Calibri" w:hAnsi="Calibri"/>
                <w:b/>
                <w:color w:val="000000"/>
                <w:sz w:val="16"/>
                <w:szCs w:val="16"/>
              </w:rPr>
              <w:t>6450.28</w:t>
            </w:r>
          </w:p>
        </w:tc>
        <w:tc>
          <w:tcPr>
            <w:tcW w:w="720" w:type="dxa"/>
            <w:tcBorders>
              <w:top w:val="nil"/>
              <w:bottom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28</w:t>
            </w:r>
          </w:p>
        </w:tc>
        <w:tc>
          <w:tcPr>
            <w:tcW w:w="900" w:type="dxa"/>
            <w:tcBorders>
              <w:top w:val="nil"/>
              <w:bottom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6453.08</w:t>
            </w:r>
          </w:p>
        </w:tc>
        <w:tc>
          <w:tcPr>
            <w:tcW w:w="270" w:type="dxa"/>
            <w:tcBorders>
              <w:top w:val="nil"/>
              <w:bottom w:val="nil"/>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Borders>
              <w:top w:val="single" w:sz="4" w:space="0" w:color="auto"/>
              <w:bottom w:val="nil"/>
            </w:tcBorders>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6450.28</w:t>
            </w:r>
          </w:p>
        </w:tc>
        <w:tc>
          <w:tcPr>
            <w:tcW w:w="720" w:type="dxa"/>
            <w:tcBorders>
              <w:top w:val="single" w:sz="4" w:space="0" w:color="auto"/>
              <w:bottom w:val="nil"/>
            </w:tcBorders>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68</w:t>
            </w:r>
          </w:p>
        </w:tc>
        <w:tc>
          <w:tcPr>
            <w:tcW w:w="630" w:type="dxa"/>
            <w:tcBorders>
              <w:top w:val="single" w:sz="4" w:space="0" w:color="auto"/>
              <w:bottom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0.00</w:t>
            </w:r>
          </w:p>
        </w:tc>
      </w:tr>
      <w:tr w:rsidR="005F05F0" w:rsidTr="005F05F0">
        <w:tc>
          <w:tcPr>
            <w:tcW w:w="810" w:type="dxa"/>
            <w:tcBorders>
              <w:top w:val="nil"/>
            </w:tcBorders>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50b</w:t>
            </w:r>
          </w:p>
        </w:tc>
        <w:tc>
          <w:tcPr>
            <w:tcW w:w="990" w:type="dxa"/>
            <w:tcBorders>
              <w:top w:val="nil"/>
            </w:tcBorders>
          </w:tcPr>
          <w:p w:rsidR="005F05F0" w:rsidRPr="00BF6CF2" w:rsidRDefault="005F05F0" w:rsidP="00135570">
            <w:pPr>
              <w:jc w:val="center"/>
              <w:rPr>
                <w:rFonts w:ascii="Calibri" w:eastAsia="Times New Roman" w:hAnsi="Calibri" w:cs="Times New Roman"/>
                <w:b/>
                <w:color w:val="000000"/>
                <w:sz w:val="16"/>
                <w:szCs w:val="16"/>
              </w:rPr>
            </w:pPr>
            <w:r w:rsidRPr="00BF6CF2">
              <w:rPr>
                <w:rFonts w:ascii="Calibri" w:eastAsia="Times New Roman" w:hAnsi="Calibri" w:cs="Times New Roman"/>
                <w:b/>
                <w:color w:val="000000"/>
                <w:sz w:val="16"/>
                <w:szCs w:val="16"/>
              </w:rPr>
              <w:t>7410.60</w:t>
            </w:r>
          </w:p>
        </w:tc>
        <w:tc>
          <w:tcPr>
            <w:tcW w:w="450" w:type="dxa"/>
            <w:tcBorders>
              <w:top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W</w:t>
            </w:r>
          </w:p>
        </w:tc>
        <w:tc>
          <w:tcPr>
            <w:tcW w:w="270" w:type="dxa"/>
            <w:tcBorders>
              <w:top w:val="nil"/>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tcBorders>
              <w:top w:val="nil"/>
            </w:tcBorders>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7410.60</w:t>
            </w:r>
          </w:p>
        </w:tc>
        <w:tc>
          <w:tcPr>
            <w:tcW w:w="990" w:type="dxa"/>
            <w:tcBorders>
              <w:top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3185</w:t>
            </w:r>
          </w:p>
        </w:tc>
        <w:tc>
          <w:tcPr>
            <w:tcW w:w="900" w:type="dxa"/>
            <w:tcBorders>
              <w:top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7428.54</w:t>
            </w:r>
          </w:p>
        </w:tc>
        <w:tc>
          <w:tcPr>
            <w:tcW w:w="720" w:type="dxa"/>
            <w:tcBorders>
              <w:top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15</w:t>
            </w:r>
          </w:p>
        </w:tc>
        <w:tc>
          <w:tcPr>
            <w:tcW w:w="900" w:type="dxa"/>
            <w:tcBorders>
              <w:top w:val="nil"/>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7434.9</w:t>
            </w:r>
            <w:r w:rsidR="00682B17">
              <w:rPr>
                <w:rFonts w:ascii="Calibri" w:hAnsi="Calibri"/>
                <w:color w:val="000000"/>
                <w:sz w:val="16"/>
                <w:szCs w:val="16"/>
              </w:rPr>
              <w:t>0</w:t>
            </w:r>
          </w:p>
        </w:tc>
        <w:tc>
          <w:tcPr>
            <w:tcW w:w="270" w:type="dxa"/>
            <w:tcBorders>
              <w:top w:val="nil"/>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Borders>
              <w:top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7428.54</w:t>
            </w:r>
          </w:p>
        </w:tc>
        <w:tc>
          <w:tcPr>
            <w:tcW w:w="720" w:type="dxa"/>
            <w:tcBorders>
              <w:top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8</w:t>
            </w:r>
          </w:p>
        </w:tc>
        <w:tc>
          <w:tcPr>
            <w:tcW w:w="630" w:type="dxa"/>
            <w:tcBorders>
              <w:top w:val="nil"/>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0.24</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50c</w:t>
            </w:r>
          </w:p>
        </w:tc>
        <w:tc>
          <w:tcPr>
            <w:tcW w:w="990" w:type="dxa"/>
          </w:tcPr>
          <w:p w:rsidR="005F05F0" w:rsidRPr="00BF6CF2" w:rsidRDefault="005F05F0" w:rsidP="00135570">
            <w:pPr>
              <w:jc w:val="center"/>
              <w:rPr>
                <w:rFonts w:ascii="Calibri" w:eastAsia="Times New Roman" w:hAnsi="Calibri" w:cs="Times New Roman"/>
                <w:b/>
                <w:color w:val="000000"/>
                <w:sz w:val="16"/>
                <w:szCs w:val="16"/>
              </w:rPr>
            </w:pPr>
            <w:r w:rsidRPr="00BF6CF2">
              <w:rPr>
                <w:rFonts w:ascii="Calibri" w:eastAsia="Times New Roman" w:hAnsi="Calibri" w:cs="Times New Roman"/>
                <w:b/>
                <w:color w:val="000000"/>
                <w:sz w:val="16"/>
                <w:szCs w:val="16"/>
              </w:rPr>
              <w:t>7311.77</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7330.60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3269</w:t>
            </w:r>
          </w:p>
        </w:tc>
        <w:tc>
          <w:tcPr>
            <w:tcW w:w="900" w:type="dxa"/>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7311.77</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13</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7317.35</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7311.77</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39</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0.00</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50d</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b/>
                <w:color w:val="000000"/>
                <w:sz w:val="16"/>
                <w:szCs w:val="16"/>
              </w:rPr>
              <w:t>7021.39</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7050.30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3658</w:t>
            </w:r>
          </w:p>
        </w:tc>
        <w:tc>
          <w:tcPr>
            <w:tcW w:w="900" w:type="dxa"/>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7021.39</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117</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7035.5</w:t>
            </w:r>
            <w:r w:rsidR="00682B17">
              <w:rPr>
                <w:rFonts w:ascii="Calibri" w:hAnsi="Calibri"/>
                <w:color w:val="000000"/>
                <w:sz w:val="16"/>
                <w:szCs w:val="16"/>
              </w:rPr>
              <w:t>0</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7028.22</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22</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0.10</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50e</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b/>
                <w:color w:val="000000"/>
                <w:sz w:val="16"/>
                <w:szCs w:val="16"/>
              </w:rPr>
              <w:t>7451.42</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7516.80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3159</w:t>
            </w:r>
          </w:p>
        </w:tc>
        <w:tc>
          <w:tcPr>
            <w:tcW w:w="900" w:type="dxa"/>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7451.42</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7482.01</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b/>
                <w:color w:val="000000"/>
                <w:sz w:val="16"/>
                <w:szCs w:val="16"/>
              </w:rPr>
              <w:t>7451.42</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32</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0.00</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100b</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14405.52</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14526.10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9967</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14405.52</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987</w:t>
            </w:r>
          </w:p>
        </w:tc>
        <w:tc>
          <w:tcPr>
            <w:tcW w:w="900" w:type="dxa"/>
            <w:vAlign w:val="bottom"/>
          </w:tcPr>
          <w:p w:rsidR="005F05F0" w:rsidRPr="00BF6CF2" w:rsidRDefault="005F05F0" w:rsidP="00135570">
            <w:pPr>
              <w:jc w:val="center"/>
              <w:rPr>
                <w:rFonts w:ascii="Calibri" w:hAnsi="Calibri"/>
                <w:color w:val="000000"/>
                <w:sz w:val="16"/>
              </w:rPr>
            </w:pPr>
            <w:r w:rsidRPr="00BF6CF2">
              <w:rPr>
                <w:rFonts w:ascii="Calibri" w:hAnsi="Calibri"/>
                <w:color w:val="000000"/>
                <w:sz w:val="16"/>
              </w:rPr>
              <w:t>12765.16</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14398.17</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444</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-0.05</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100c</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13889.22</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13967.80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10677</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13889.22</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904</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14</w:t>
            </w:r>
            <w:r w:rsidRPr="00BF6CF2">
              <w:rPr>
                <w:rFonts w:ascii="Calibri" w:hAnsi="Calibri"/>
                <w:color w:val="000000"/>
                <w:sz w:val="16"/>
              </w:rPr>
              <w:t>441.01</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13869.80</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227</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-0.14</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100d</w:t>
            </w:r>
          </w:p>
        </w:tc>
        <w:tc>
          <w:tcPr>
            <w:tcW w:w="990" w:type="dxa"/>
          </w:tcPr>
          <w:p w:rsidR="005F05F0" w:rsidRPr="00BF6CF2" w:rsidRDefault="005F05F0" w:rsidP="00135570">
            <w:pPr>
              <w:jc w:val="center"/>
              <w:rPr>
                <w:rFonts w:ascii="Calibri" w:eastAsia="Times New Roman" w:hAnsi="Calibri" w:cs="Times New Roman"/>
                <w:b/>
                <w:color w:val="000000"/>
                <w:sz w:val="16"/>
                <w:szCs w:val="16"/>
              </w:rPr>
            </w:pPr>
            <w:r w:rsidRPr="00BF6CF2">
              <w:rPr>
                <w:rFonts w:ascii="Calibri" w:eastAsia="Times New Roman" w:hAnsi="Calibri" w:cs="Times New Roman"/>
                <w:b/>
                <w:color w:val="000000"/>
                <w:sz w:val="16"/>
                <w:szCs w:val="16"/>
              </w:rPr>
              <w:t>13564.23</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13763.30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11177</w:t>
            </w:r>
          </w:p>
        </w:tc>
        <w:tc>
          <w:tcPr>
            <w:tcW w:w="900" w:type="dxa"/>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13564.23</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866</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13</w:t>
            </w:r>
            <w:r w:rsidRPr="00BF6CF2">
              <w:rPr>
                <w:rFonts w:ascii="Calibri" w:hAnsi="Calibri"/>
                <w:color w:val="000000"/>
                <w:sz w:val="16"/>
              </w:rPr>
              <w:t>932.78</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13603.03</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169</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0.29</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100e</w:t>
            </w:r>
          </w:p>
        </w:tc>
        <w:tc>
          <w:tcPr>
            <w:tcW w:w="990" w:type="dxa"/>
          </w:tcPr>
          <w:p w:rsidR="005F05F0" w:rsidRPr="00BF6CF2" w:rsidRDefault="005F05F0" w:rsidP="00135570">
            <w:pPr>
              <w:jc w:val="center"/>
              <w:rPr>
                <w:rFonts w:ascii="Calibri" w:eastAsia="Times New Roman" w:hAnsi="Calibri" w:cs="Times New Roman"/>
                <w:b/>
                <w:color w:val="000000"/>
                <w:sz w:val="16"/>
                <w:szCs w:val="16"/>
              </w:rPr>
            </w:pPr>
            <w:r w:rsidRPr="00BF6CF2">
              <w:rPr>
                <w:rFonts w:ascii="Calibri" w:eastAsia="Times New Roman" w:hAnsi="Calibri" w:cs="Times New Roman"/>
                <w:b/>
                <w:color w:val="000000"/>
                <w:sz w:val="16"/>
                <w:szCs w:val="16"/>
              </w:rPr>
              <w:t>14059.62</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14212.70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10643</w:t>
            </w:r>
          </w:p>
        </w:tc>
        <w:tc>
          <w:tcPr>
            <w:tcW w:w="900" w:type="dxa"/>
            <w:vAlign w:val="bottom"/>
          </w:tcPr>
          <w:p w:rsidR="005F05F0" w:rsidRPr="0080187C" w:rsidRDefault="005F05F0" w:rsidP="00135570">
            <w:pPr>
              <w:jc w:val="center"/>
              <w:rPr>
                <w:rFonts w:ascii="Calibri" w:hAnsi="Calibri"/>
                <w:b/>
                <w:color w:val="000000"/>
                <w:sz w:val="16"/>
                <w:szCs w:val="16"/>
              </w:rPr>
            </w:pPr>
            <w:r w:rsidRPr="0080187C">
              <w:rPr>
                <w:rFonts w:ascii="Calibri" w:hAnsi="Calibri"/>
                <w:b/>
                <w:color w:val="000000"/>
                <w:sz w:val="16"/>
                <w:szCs w:val="16"/>
              </w:rPr>
              <w:t>14059.62</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922</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13</w:t>
            </w:r>
            <w:r w:rsidRPr="00BF6CF2">
              <w:rPr>
                <w:rFonts w:ascii="Calibri" w:hAnsi="Calibri"/>
                <w:color w:val="000000"/>
                <w:sz w:val="16"/>
              </w:rPr>
              <w:t>708.81</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14063.29</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417</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0.03</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150a</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19532.28</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19537.30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24326</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19638.04</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1302</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19</w:t>
            </w:r>
            <w:r w:rsidRPr="00BF6CF2">
              <w:rPr>
                <w:rFonts w:ascii="Calibri" w:hAnsi="Calibri"/>
                <w:color w:val="000000"/>
                <w:sz w:val="16"/>
              </w:rPr>
              <w:t>532.28</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19391.16</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350</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-0.72</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150b</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20823.40</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20974.80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24461</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20922.27</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1172</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20</w:t>
            </w:r>
            <w:r w:rsidRPr="00BF6CF2">
              <w:rPr>
                <w:rFonts w:ascii="Calibri" w:hAnsi="Calibri"/>
                <w:color w:val="000000"/>
                <w:sz w:val="16"/>
              </w:rPr>
              <w:t>823.40</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20764.50</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203</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-0.28</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150c</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19964.59</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20126.50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23754</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20019.50</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1004</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19</w:t>
            </w:r>
            <w:r w:rsidRPr="00BF6CF2">
              <w:rPr>
                <w:rFonts w:ascii="Calibri" w:hAnsi="Calibri"/>
                <w:color w:val="000000"/>
                <w:sz w:val="16"/>
              </w:rPr>
              <w:t>964.59</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19864.86</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326</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-0.50</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150d</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20509.97</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20549.40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24468</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20600.33</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673</w:t>
            </w:r>
          </w:p>
        </w:tc>
        <w:tc>
          <w:tcPr>
            <w:tcW w:w="900" w:type="dxa"/>
            <w:vAlign w:val="bottom"/>
          </w:tcPr>
          <w:p w:rsidR="005F05F0" w:rsidRPr="00BF6CF2" w:rsidRDefault="005F05F0" w:rsidP="00135570">
            <w:pPr>
              <w:jc w:val="center"/>
              <w:rPr>
                <w:rFonts w:ascii="Calibri" w:hAnsi="Calibri"/>
                <w:color w:val="000000"/>
                <w:sz w:val="16"/>
              </w:rPr>
            </w:pPr>
            <w:r>
              <w:rPr>
                <w:rFonts w:ascii="Calibri" w:hAnsi="Calibri"/>
                <w:color w:val="000000"/>
                <w:sz w:val="16"/>
              </w:rPr>
              <w:t>20</w:t>
            </w:r>
            <w:r w:rsidRPr="00BF6CF2">
              <w:rPr>
                <w:rFonts w:ascii="Calibri" w:hAnsi="Calibri"/>
                <w:color w:val="000000"/>
                <w:sz w:val="16"/>
              </w:rPr>
              <w:t>509.97</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20355.27</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366</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-0.75</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150e</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19716.87</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19848.50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23400</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19782.00</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877</w:t>
            </w:r>
          </w:p>
        </w:tc>
        <w:tc>
          <w:tcPr>
            <w:tcW w:w="900" w:type="dxa"/>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19</w:t>
            </w:r>
            <w:r w:rsidRPr="00BF6CF2">
              <w:rPr>
                <w:rFonts w:ascii="Calibri" w:hAnsi="Calibri"/>
                <w:color w:val="000000"/>
                <w:sz w:val="16"/>
                <w:szCs w:val="16"/>
              </w:rPr>
              <w:t>716.87</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19634.47</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269</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-0.42</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200a</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27112.48</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27324.40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46586</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27397.31</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1891</w:t>
            </w:r>
          </w:p>
        </w:tc>
        <w:tc>
          <w:tcPr>
            <w:tcW w:w="900" w:type="dxa"/>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27</w:t>
            </w:r>
            <w:r w:rsidRPr="00BF6CF2">
              <w:rPr>
                <w:rFonts w:ascii="Calibri" w:hAnsi="Calibri"/>
                <w:color w:val="000000"/>
                <w:sz w:val="16"/>
                <w:szCs w:val="16"/>
              </w:rPr>
              <w:t>112.48</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27073.57</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751</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-0.14</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200b</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27509.08</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T</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27637.70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43653</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27582.87</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1665</w:t>
            </w:r>
          </w:p>
        </w:tc>
        <w:tc>
          <w:tcPr>
            <w:tcW w:w="900" w:type="dxa"/>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27</w:t>
            </w:r>
            <w:r w:rsidRPr="00BF6CF2">
              <w:rPr>
                <w:rFonts w:ascii="Calibri" w:hAnsi="Calibri"/>
                <w:color w:val="000000"/>
                <w:sz w:val="16"/>
                <w:szCs w:val="16"/>
              </w:rPr>
              <w:t>509.08</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27337.49</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602</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-0.62</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200c</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26320.39</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26358.60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46389</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26425.29</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1904</w:t>
            </w:r>
          </w:p>
        </w:tc>
        <w:tc>
          <w:tcPr>
            <w:tcW w:w="900" w:type="dxa"/>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26</w:t>
            </w:r>
            <w:r w:rsidRPr="00BF6CF2">
              <w:rPr>
                <w:rFonts w:ascii="Calibri" w:hAnsi="Calibri"/>
                <w:color w:val="000000"/>
                <w:sz w:val="16"/>
                <w:szCs w:val="16"/>
              </w:rPr>
              <w:t>320.39</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26181.73</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1024</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-0.53</w:t>
            </w:r>
          </w:p>
        </w:tc>
      </w:tr>
      <w:tr w:rsidR="005F05F0" w:rsidTr="005F05F0">
        <w:tc>
          <w:tcPr>
            <w:tcW w:w="810" w:type="dxa"/>
          </w:tcPr>
          <w:p w:rsidR="005F05F0" w:rsidRPr="00BF6CF2" w:rsidRDefault="005F05F0" w:rsidP="00F00EA5">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200d</w:t>
            </w:r>
          </w:p>
        </w:tc>
        <w:tc>
          <w:tcPr>
            <w:tcW w:w="990" w:type="dxa"/>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27686.75</w:t>
            </w:r>
          </w:p>
        </w:tc>
        <w:tc>
          <w:tcPr>
            <w:tcW w:w="45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27749.70</w:t>
            </w:r>
          </w:p>
        </w:tc>
        <w:tc>
          <w:tcPr>
            <w:tcW w:w="99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46615</w:t>
            </w:r>
          </w:p>
        </w:tc>
        <w:tc>
          <w:tcPr>
            <w:tcW w:w="90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27818.77</w:t>
            </w:r>
          </w:p>
        </w:tc>
        <w:tc>
          <w:tcPr>
            <w:tcW w:w="720" w:type="dxa"/>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1789</w:t>
            </w:r>
          </w:p>
        </w:tc>
        <w:tc>
          <w:tcPr>
            <w:tcW w:w="900" w:type="dxa"/>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27</w:t>
            </w:r>
            <w:r w:rsidRPr="00BF6CF2">
              <w:rPr>
                <w:rFonts w:ascii="Calibri" w:hAnsi="Calibri"/>
                <w:color w:val="000000"/>
                <w:sz w:val="16"/>
                <w:szCs w:val="16"/>
              </w:rPr>
              <w:t>686.75</w:t>
            </w:r>
          </w:p>
        </w:tc>
        <w:tc>
          <w:tcPr>
            <w:tcW w:w="270" w:type="dxa"/>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27439.50</w:t>
            </w:r>
          </w:p>
        </w:tc>
        <w:tc>
          <w:tcPr>
            <w:tcW w:w="72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1631</w:t>
            </w:r>
          </w:p>
        </w:tc>
        <w:tc>
          <w:tcPr>
            <w:tcW w:w="630" w:type="dxa"/>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-0.90</w:t>
            </w:r>
          </w:p>
        </w:tc>
      </w:tr>
      <w:tr w:rsidR="005F05F0" w:rsidTr="00135570">
        <w:tc>
          <w:tcPr>
            <w:tcW w:w="810" w:type="dxa"/>
            <w:tcBorders>
              <w:bottom w:val="single" w:sz="4" w:space="0" w:color="auto"/>
            </w:tcBorders>
          </w:tcPr>
          <w:p w:rsidR="005F05F0" w:rsidRPr="00BF6CF2" w:rsidRDefault="005F05F0" w:rsidP="00135570">
            <w:pP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200e</w:t>
            </w:r>
          </w:p>
        </w:tc>
        <w:tc>
          <w:tcPr>
            <w:tcW w:w="990" w:type="dxa"/>
            <w:tcBorders>
              <w:bottom w:val="single" w:sz="4" w:space="0" w:color="auto"/>
            </w:tcBorders>
          </w:tcPr>
          <w:p w:rsidR="005F05F0" w:rsidRPr="00BF6CF2" w:rsidRDefault="005F05F0" w:rsidP="00135570">
            <w:pPr>
              <w:jc w:val="center"/>
              <w:rPr>
                <w:rFonts w:ascii="Calibri" w:eastAsia="Times New Roman" w:hAnsi="Calibri" w:cs="Times New Roman"/>
                <w:color w:val="000000"/>
                <w:sz w:val="16"/>
                <w:szCs w:val="16"/>
              </w:rPr>
            </w:pPr>
            <w:r w:rsidRPr="00BF6CF2">
              <w:rPr>
                <w:rFonts w:ascii="Calibri" w:eastAsia="Times New Roman" w:hAnsi="Calibri" w:cs="Times New Roman"/>
                <w:color w:val="000000"/>
                <w:sz w:val="16"/>
                <w:szCs w:val="16"/>
              </w:rPr>
              <w:t>26443.29</w:t>
            </w:r>
          </w:p>
        </w:tc>
        <w:tc>
          <w:tcPr>
            <w:tcW w:w="450" w:type="dxa"/>
            <w:tcBorders>
              <w:bottom w:val="single" w:sz="4" w:space="0" w:color="auto"/>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M</w:t>
            </w:r>
          </w:p>
        </w:tc>
        <w:tc>
          <w:tcPr>
            <w:tcW w:w="270" w:type="dxa"/>
            <w:tcBorders>
              <w:bottom w:val="single" w:sz="4" w:space="0" w:color="auto"/>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00" w:type="dxa"/>
            <w:tcBorders>
              <w:bottom w:val="single" w:sz="4" w:space="0" w:color="auto"/>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26620.60</w:t>
            </w:r>
          </w:p>
        </w:tc>
        <w:tc>
          <w:tcPr>
            <w:tcW w:w="990" w:type="dxa"/>
            <w:tcBorders>
              <w:bottom w:val="single" w:sz="4" w:space="0" w:color="auto"/>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45649</w:t>
            </w:r>
          </w:p>
        </w:tc>
        <w:tc>
          <w:tcPr>
            <w:tcW w:w="900" w:type="dxa"/>
            <w:tcBorders>
              <w:bottom w:val="single" w:sz="4" w:space="0" w:color="auto"/>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26704.81</w:t>
            </w:r>
          </w:p>
        </w:tc>
        <w:tc>
          <w:tcPr>
            <w:tcW w:w="720" w:type="dxa"/>
            <w:tcBorders>
              <w:bottom w:val="single" w:sz="4" w:space="0" w:color="auto"/>
            </w:tcBorders>
            <w:vAlign w:val="bottom"/>
          </w:tcPr>
          <w:p w:rsidR="005F05F0" w:rsidRPr="00BF6CF2" w:rsidRDefault="005F05F0" w:rsidP="00135570">
            <w:pPr>
              <w:jc w:val="center"/>
              <w:rPr>
                <w:rFonts w:ascii="Calibri" w:hAnsi="Calibri"/>
                <w:color w:val="000000"/>
                <w:sz w:val="16"/>
                <w:szCs w:val="16"/>
              </w:rPr>
            </w:pPr>
            <w:r w:rsidRPr="00BF6CF2">
              <w:rPr>
                <w:rFonts w:ascii="Calibri" w:hAnsi="Calibri"/>
                <w:color w:val="000000"/>
                <w:sz w:val="16"/>
                <w:szCs w:val="16"/>
              </w:rPr>
              <w:t>1102</w:t>
            </w:r>
          </w:p>
        </w:tc>
        <w:tc>
          <w:tcPr>
            <w:tcW w:w="900" w:type="dxa"/>
            <w:tcBorders>
              <w:bottom w:val="single" w:sz="4" w:space="0" w:color="auto"/>
            </w:tcBorders>
            <w:vAlign w:val="bottom"/>
          </w:tcPr>
          <w:p w:rsidR="005F05F0" w:rsidRPr="00BF6CF2" w:rsidRDefault="005F05F0" w:rsidP="00135570">
            <w:pPr>
              <w:jc w:val="center"/>
              <w:rPr>
                <w:rFonts w:ascii="Calibri" w:hAnsi="Calibri"/>
                <w:color w:val="000000"/>
                <w:sz w:val="16"/>
                <w:szCs w:val="16"/>
              </w:rPr>
            </w:pPr>
            <w:r>
              <w:rPr>
                <w:rFonts w:ascii="Calibri" w:hAnsi="Calibri"/>
                <w:color w:val="000000"/>
                <w:sz w:val="16"/>
                <w:szCs w:val="16"/>
              </w:rPr>
              <w:t>26</w:t>
            </w:r>
            <w:r w:rsidRPr="00BF6CF2">
              <w:rPr>
                <w:rFonts w:ascii="Calibri" w:hAnsi="Calibri"/>
                <w:color w:val="000000"/>
                <w:sz w:val="16"/>
                <w:szCs w:val="16"/>
              </w:rPr>
              <w:t>443.29</w:t>
            </w:r>
          </w:p>
        </w:tc>
        <w:tc>
          <w:tcPr>
            <w:tcW w:w="270" w:type="dxa"/>
            <w:tcBorders>
              <w:bottom w:val="single" w:sz="4" w:space="0" w:color="auto"/>
            </w:tcBorders>
          </w:tcPr>
          <w:p w:rsidR="005F05F0" w:rsidRPr="00BF6CF2" w:rsidRDefault="005F05F0" w:rsidP="00135570">
            <w:pPr>
              <w:autoSpaceDE w:val="0"/>
              <w:autoSpaceDN w:val="0"/>
              <w:adjustRightInd w:val="0"/>
              <w:jc w:val="center"/>
              <w:rPr>
                <w:color w:val="000000"/>
                <w:sz w:val="16"/>
                <w:szCs w:val="16"/>
                <w:shd w:val="clear" w:color="auto" w:fill="FFFFFF"/>
              </w:rPr>
            </w:pPr>
          </w:p>
        </w:tc>
        <w:tc>
          <w:tcPr>
            <w:tcW w:w="990" w:type="dxa"/>
            <w:tcBorders>
              <w:bottom w:val="single" w:sz="4" w:space="0" w:color="auto"/>
            </w:tcBorders>
          </w:tcPr>
          <w:p w:rsidR="005F05F0" w:rsidRPr="00BF6CF2" w:rsidRDefault="005F05F0" w:rsidP="00135570">
            <w:pPr>
              <w:jc w:val="center"/>
              <w:rPr>
                <w:rFonts w:eastAsia="Times New Roman" w:cs="Times New Roman"/>
                <w:b/>
                <w:color w:val="000000"/>
                <w:sz w:val="16"/>
                <w:szCs w:val="16"/>
              </w:rPr>
            </w:pPr>
            <w:r w:rsidRPr="00BF6CF2">
              <w:rPr>
                <w:rFonts w:eastAsia="Times New Roman" w:cs="Times New Roman"/>
                <w:b/>
                <w:color w:val="000000"/>
                <w:sz w:val="16"/>
                <w:szCs w:val="16"/>
              </w:rPr>
              <w:t>26305.30</w:t>
            </w:r>
          </w:p>
        </w:tc>
        <w:tc>
          <w:tcPr>
            <w:tcW w:w="720" w:type="dxa"/>
            <w:tcBorders>
              <w:bottom w:val="single" w:sz="4" w:space="0" w:color="auto"/>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2033</w:t>
            </w:r>
          </w:p>
        </w:tc>
        <w:tc>
          <w:tcPr>
            <w:tcW w:w="630" w:type="dxa"/>
            <w:tcBorders>
              <w:bottom w:val="single" w:sz="4" w:space="0" w:color="auto"/>
            </w:tcBorders>
          </w:tcPr>
          <w:p w:rsidR="005F05F0" w:rsidRPr="00BF6CF2" w:rsidRDefault="005F05F0" w:rsidP="00135570">
            <w:pPr>
              <w:jc w:val="center"/>
              <w:rPr>
                <w:rFonts w:eastAsia="Times New Roman" w:cs="Times New Roman"/>
                <w:color w:val="000000"/>
                <w:sz w:val="16"/>
                <w:szCs w:val="16"/>
              </w:rPr>
            </w:pPr>
            <w:r w:rsidRPr="00BF6CF2">
              <w:rPr>
                <w:rFonts w:eastAsia="Times New Roman" w:cs="Times New Roman"/>
                <w:color w:val="000000"/>
                <w:sz w:val="16"/>
                <w:szCs w:val="16"/>
              </w:rPr>
              <w:t>-0.52</w:t>
            </w:r>
          </w:p>
        </w:tc>
      </w:tr>
      <w:tr w:rsidR="005F05F0" w:rsidTr="00135570">
        <w:tc>
          <w:tcPr>
            <w:tcW w:w="810" w:type="dxa"/>
            <w:tcBorders>
              <w:top w:val="single" w:sz="4" w:space="0" w:color="auto"/>
              <w:bottom w:val="nil"/>
            </w:tcBorders>
          </w:tcPr>
          <w:p w:rsidR="005F05F0" w:rsidRPr="009D2F4F" w:rsidRDefault="005F05F0" w:rsidP="000978C7">
            <w:pPr>
              <w:autoSpaceDE w:val="0"/>
              <w:autoSpaceDN w:val="0"/>
              <w:adjustRightInd w:val="0"/>
              <w:rPr>
                <w:b/>
                <w:color w:val="000000"/>
                <w:sz w:val="16"/>
                <w:szCs w:val="16"/>
                <w:shd w:val="clear" w:color="auto" w:fill="FFFFFF"/>
              </w:rPr>
            </w:pPr>
            <w:r w:rsidRPr="009D2F4F">
              <w:rPr>
                <w:b/>
                <w:color w:val="000000"/>
                <w:sz w:val="16"/>
                <w:szCs w:val="16"/>
                <w:shd w:val="clear" w:color="auto" w:fill="FFFFFF"/>
              </w:rPr>
              <w:t>Total</w:t>
            </w:r>
          </w:p>
        </w:tc>
        <w:tc>
          <w:tcPr>
            <w:tcW w:w="990" w:type="dxa"/>
            <w:tcBorders>
              <w:top w:val="single" w:sz="4" w:space="0" w:color="auto"/>
              <w:bottom w:val="nil"/>
            </w:tcBorders>
            <w:vAlign w:val="bottom"/>
          </w:tcPr>
          <w:p w:rsidR="005F05F0" w:rsidRPr="006061C1" w:rsidRDefault="005F05F0" w:rsidP="00135570">
            <w:pPr>
              <w:jc w:val="center"/>
              <w:rPr>
                <w:rFonts w:ascii="Calibri" w:hAnsi="Calibri"/>
                <w:color w:val="000000"/>
                <w:sz w:val="16"/>
                <w:szCs w:val="16"/>
              </w:rPr>
            </w:pPr>
            <w:r>
              <w:rPr>
                <w:rFonts w:ascii="Calibri" w:hAnsi="Calibri"/>
                <w:color w:val="000000"/>
                <w:sz w:val="16"/>
                <w:szCs w:val="16"/>
              </w:rPr>
              <w:t>319</w:t>
            </w:r>
            <w:r w:rsidRPr="006061C1">
              <w:rPr>
                <w:rFonts w:ascii="Calibri" w:hAnsi="Calibri"/>
                <w:color w:val="000000"/>
                <w:sz w:val="16"/>
                <w:szCs w:val="16"/>
              </w:rPr>
              <w:t>563.79</w:t>
            </w:r>
          </w:p>
        </w:tc>
        <w:tc>
          <w:tcPr>
            <w:tcW w:w="450" w:type="dxa"/>
            <w:tcBorders>
              <w:top w:val="single" w:sz="4" w:space="0" w:color="auto"/>
              <w:bottom w:val="nil"/>
            </w:tcBorders>
          </w:tcPr>
          <w:p w:rsidR="005F05F0" w:rsidRPr="006679D7" w:rsidRDefault="005F05F0" w:rsidP="00135570">
            <w:pPr>
              <w:jc w:val="center"/>
              <w:rPr>
                <w:rFonts w:eastAsia="Times New Roman" w:cs="Times New Roman"/>
                <w:color w:val="000000"/>
                <w:sz w:val="14"/>
                <w:szCs w:val="16"/>
              </w:rPr>
            </w:pPr>
          </w:p>
        </w:tc>
        <w:tc>
          <w:tcPr>
            <w:tcW w:w="270" w:type="dxa"/>
            <w:tcBorders>
              <w:top w:val="single" w:sz="4" w:space="0" w:color="auto"/>
              <w:bottom w:val="nil"/>
            </w:tcBorders>
          </w:tcPr>
          <w:p w:rsidR="005F05F0" w:rsidRPr="006679D7" w:rsidRDefault="005F05F0" w:rsidP="00135570">
            <w:pPr>
              <w:autoSpaceDE w:val="0"/>
              <w:autoSpaceDN w:val="0"/>
              <w:adjustRightInd w:val="0"/>
              <w:jc w:val="center"/>
              <w:rPr>
                <w:color w:val="000000"/>
                <w:sz w:val="14"/>
                <w:szCs w:val="16"/>
                <w:shd w:val="clear" w:color="auto" w:fill="FFFFFF"/>
              </w:rPr>
            </w:pPr>
          </w:p>
        </w:tc>
        <w:tc>
          <w:tcPr>
            <w:tcW w:w="900" w:type="dxa"/>
            <w:tcBorders>
              <w:top w:val="single" w:sz="4" w:space="0" w:color="auto"/>
              <w:bottom w:val="nil"/>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328978</w:t>
            </w:r>
          </w:p>
        </w:tc>
        <w:tc>
          <w:tcPr>
            <w:tcW w:w="990" w:type="dxa"/>
            <w:tcBorders>
              <w:top w:val="single" w:sz="4" w:space="0" w:color="auto"/>
              <w:bottom w:val="nil"/>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408901.00</w:t>
            </w:r>
          </w:p>
        </w:tc>
        <w:tc>
          <w:tcPr>
            <w:tcW w:w="900" w:type="dxa"/>
            <w:tcBorders>
              <w:top w:val="single" w:sz="4" w:space="0" w:color="auto"/>
              <w:bottom w:val="nil"/>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328473</w:t>
            </w:r>
          </w:p>
        </w:tc>
        <w:tc>
          <w:tcPr>
            <w:tcW w:w="720" w:type="dxa"/>
            <w:tcBorders>
              <w:top w:val="single" w:sz="4" w:space="0" w:color="auto"/>
              <w:bottom w:val="nil"/>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17251</w:t>
            </w:r>
          </w:p>
        </w:tc>
        <w:tc>
          <w:tcPr>
            <w:tcW w:w="900" w:type="dxa"/>
            <w:tcBorders>
              <w:top w:val="single" w:sz="4" w:space="0" w:color="auto"/>
              <w:bottom w:val="nil"/>
            </w:tcBorders>
            <w:vAlign w:val="bottom"/>
          </w:tcPr>
          <w:p w:rsidR="005F05F0" w:rsidRPr="005F05F0" w:rsidRDefault="005F05F0" w:rsidP="00135570">
            <w:pPr>
              <w:jc w:val="center"/>
              <w:rPr>
                <w:rFonts w:ascii="Calibri" w:hAnsi="Calibri"/>
                <w:color w:val="000000"/>
                <w:sz w:val="16"/>
              </w:rPr>
            </w:pPr>
            <w:r w:rsidRPr="005F05F0">
              <w:rPr>
                <w:rFonts w:ascii="Calibri" w:hAnsi="Calibri"/>
                <w:color w:val="000000"/>
                <w:sz w:val="16"/>
              </w:rPr>
              <w:t>340312</w:t>
            </w:r>
          </w:p>
        </w:tc>
        <w:tc>
          <w:tcPr>
            <w:tcW w:w="270" w:type="dxa"/>
            <w:tcBorders>
              <w:top w:val="single" w:sz="4" w:space="0" w:color="auto"/>
              <w:bottom w:val="nil"/>
            </w:tcBorders>
          </w:tcPr>
          <w:p w:rsidR="005F05F0" w:rsidRPr="005F05F0" w:rsidRDefault="005F05F0" w:rsidP="00135570">
            <w:pPr>
              <w:autoSpaceDE w:val="0"/>
              <w:autoSpaceDN w:val="0"/>
              <w:adjustRightInd w:val="0"/>
              <w:jc w:val="center"/>
              <w:rPr>
                <w:color w:val="000000"/>
                <w:sz w:val="16"/>
                <w:szCs w:val="16"/>
                <w:shd w:val="clear" w:color="auto" w:fill="FFFFFF"/>
              </w:rPr>
            </w:pPr>
          </w:p>
        </w:tc>
        <w:tc>
          <w:tcPr>
            <w:tcW w:w="990" w:type="dxa"/>
            <w:tcBorders>
              <w:top w:val="single" w:sz="4" w:space="0" w:color="auto"/>
              <w:bottom w:val="nil"/>
            </w:tcBorders>
          </w:tcPr>
          <w:p w:rsidR="005F05F0" w:rsidRPr="005F05F0" w:rsidRDefault="005F05F0" w:rsidP="00135570">
            <w:pPr>
              <w:jc w:val="center"/>
              <w:rPr>
                <w:rFonts w:eastAsia="Times New Roman" w:cs="Times New Roman"/>
                <w:color w:val="000000"/>
                <w:sz w:val="16"/>
                <w:szCs w:val="16"/>
              </w:rPr>
            </w:pPr>
            <w:r w:rsidRPr="005F05F0">
              <w:rPr>
                <w:rFonts w:eastAsia="Times New Roman" w:cs="Times New Roman"/>
                <w:color w:val="000000"/>
                <w:sz w:val="16"/>
                <w:szCs w:val="16"/>
              </w:rPr>
              <w:t>222971.66</w:t>
            </w:r>
          </w:p>
        </w:tc>
        <w:tc>
          <w:tcPr>
            <w:tcW w:w="720" w:type="dxa"/>
            <w:tcBorders>
              <w:top w:val="single" w:sz="4" w:space="0" w:color="auto"/>
              <w:bottom w:val="nil"/>
            </w:tcBorders>
            <w:vAlign w:val="bottom"/>
          </w:tcPr>
          <w:p w:rsidR="005F05F0" w:rsidRPr="005F05F0" w:rsidRDefault="005F05F0" w:rsidP="00135570">
            <w:pPr>
              <w:jc w:val="center"/>
              <w:rPr>
                <w:rFonts w:ascii="Calibri" w:hAnsi="Calibri"/>
                <w:color w:val="000000"/>
                <w:sz w:val="16"/>
              </w:rPr>
            </w:pPr>
            <w:r w:rsidRPr="005F05F0">
              <w:rPr>
                <w:rFonts w:ascii="Calibri" w:hAnsi="Calibri"/>
                <w:color w:val="000000"/>
                <w:sz w:val="16"/>
              </w:rPr>
              <w:t>8981</w:t>
            </w:r>
          </w:p>
        </w:tc>
        <w:tc>
          <w:tcPr>
            <w:tcW w:w="630" w:type="dxa"/>
            <w:tcBorders>
              <w:top w:val="single" w:sz="4" w:space="0" w:color="auto"/>
              <w:bottom w:val="nil"/>
            </w:tcBorders>
          </w:tcPr>
          <w:p w:rsidR="005F05F0" w:rsidRPr="005F05F0" w:rsidRDefault="005F05F0" w:rsidP="00135570">
            <w:pPr>
              <w:autoSpaceDE w:val="0"/>
              <w:autoSpaceDN w:val="0"/>
              <w:adjustRightInd w:val="0"/>
              <w:jc w:val="center"/>
              <w:rPr>
                <w:color w:val="000000"/>
                <w:sz w:val="16"/>
                <w:szCs w:val="16"/>
                <w:shd w:val="clear" w:color="auto" w:fill="FFFFFF"/>
              </w:rPr>
            </w:pPr>
          </w:p>
        </w:tc>
      </w:tr>
      <w:tr w:rsidR="005F05F0" w:rsidTr="00135570">
        <w:tc>
          <w:tcPr>
            <w:tcW w:w="810" w:type="dxa"/>
            <w:tcBorders>
              <w:top w:val="nil"/>
              <w:bottom w:val="single" w:sz="4" w:space="0" w:color="auto"/>
            </w:tcBorders>
          </w:tcPr>
          <w:p w:rsidR="005F05F0" w:rsidRPr="009D2F4F" w:rsidRDefault="005F05F0" w:rsidP="000978C7">
            <w:pPr>
              <w:autoSpaceDE w:val="0"/>
              <w:autoSpaceDN w:val="0"/>
              <w:adjustRightInd w:val="0"/>
              <w:rPr>
                <w:b/>
                <w:color w:val="000000"/>
                <w:sz w:val="16"/>
                <w:szCs w:val="16"/>
                <w:shd w:val="clear" w:color="auto" w:fill="FFFFFF"/>
              </w:rPr>
            </w:pPr>
            <w:proofErr w:type="spellStart"/>
            <w:r w:rsidRPr="009D2F4F">
              <w:rPr>
                <w:b/>
                <w:color w:val="000000"/>
                <w:sz w:val="16"/>
                <w:szCs w:val="16"/>
                <w:shd w:val="clear" w:color="auto" w:fill="FFFFFF"/>
              </w:rPr>
              <w:t>Avg</w:t>
            </w:r>
            <w:proofErr w:type="spellEnd"/>
          </w:p>
        </w:tc>
        <w:tc>
          <w:tcPr>
            <w:tcW w:w="990" w:type="dxa"/>
            <w:tcBorders>
              <w:top w:val="nil"/>
              <w:bottom w:val="single" w:sz="4" w:space="0" w:color="auto"/>
            </w:tcBorders>
            <w:vAlign w:val="bottom"/>
          </w:tcPr>
          <w:p w:rsidR="005F05F0" w:rsidRPr="006061C1" w:rsidRDefault="005F05F0" w:rsidP="00135570">
            <w:pPr>
              <w:jc w:val="center"/>
              <w:rPr>
                <w:rFonts w:ascii="Calibri" w:hAnsi="Calibri"/>
                <w:color w:val="000000"/>
                <w:sz w:val="16"/>
                <w:szCs w:val="16"/>
              </w:rPr>
            </w:pPr>
            <w:r w:rsidRPr="006061C1">
              <w:rPr>
                <w:rFonts w:ascii="Calibri" w:hAnsi="Calibri"/>
                <w:color w:val="000000"/>
                <w:sz w:val="16"/>
                <w:szCs w:val="16"/>
              </w:rPr>
              <w:t>31956.38</w:t>
            </w:r>
          </w:p>
        </w:tc>
        <w:tc>
          <w:tcPr>
            <w:tcW w:w="450" w:type="dxa"/>
            <w:tcBorders>
              <w:top w:val="nil"/>
              <w:bottom w:val="single" w:sz="4" w:space="0" w:color="auto"/>
            </w:tcBorders>
          </w:tcPr>
          <w:p w:rsidR="005F05F0" w:rsidRPr="006679D7" w:rsidRDefault="005F05F0" w:rsidP="00135570">
            <w:pPr>
              <w:jc w:val="center"/>
              <w:rPr>
                <w:rFonts w:eastAsia="Times New Roman" w:cs="Times New Roman"/>
                <w:color w:val="000000"/>
                <w:sz w:val="14"/>
                <w:szCs w:val="16"/>
              </w:rPr>
            </w:pPr>
          </w:p>
        </w:tc>
        <w:tc>
          <w:tcPr>
            <w:tcW w:w="270" w:type="dxa"/>
            <w:tcBorders>
              <w:top w:val="nil"/>
              <w:bottom w:val="single" w:sz="4" w:space="0" w:color="auto"/>
            </w:tcBorders>
          </w:tcPr>
          <w:p w:rsidR="005F05F0" w:rsidRPr="006679D7" w:rsidRDefault="005F05F0" w:rsidP="00135570">
            <w:pPr>
              <w:autoSpaceDE w:val="0"/>
              <w:autoSpaceDN w:val="0"/>
              <w:adjustRightInd w:val="0"/>
              <w:jc w:val="center"/>
              <w:rPr>
                <w:color w:val="000000"/>
                <w:sz w:val="14"/>
                <w:szCs w:val="16"/>
                <w:shd w:val="clear" w:color="auto" w:fill="FFFFFF"/>
              </w:rPr>
            </w:pPr>
          </w:p>
        </w:tc>
        <w:tc>
          <w:tcPr>
            <w:tcW w:w="900" w:type="dxa"/>
            <w:tcBorders>
              <w:top w:val="nil"/>
              <w:bottom w:val="single" w:sz="4" w:space="0" w:color="auto"/>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17314.61</w:t>
            </w:r>
          </w:p>
        </w:tc>
        <w:tc>
          <w:tcPr>
            <w:tcW w:w="990" w:type="dxa"/>
            <w:tcBorders>
              <w:top w:val="nil"/>
              <w:bottom w:val="single" w:sz="4" w:space="0" w:color="auto"/>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21521.11</w:t>
            </w:r>
          </w:p>
        </w:tc>
        <w:tc>
          <w:tcPr>
            <w:tcW w:w="900" w:type="dxa"/>
            <w:tcBorders>
              <w:top w:val="nil"/>
              <w:bottom w:val="single" w:sz="4" w:space="0" w:color="auto"/>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17288.06</w:t>
            </w:r>
          </w:p>
        </w:tc>
        <w:tc>
          <w:tcPr>
            <w:tcW w:w="720" w:type="dxa"/>
            <w:tcBorders>
              <w:top w:val="nil"/>
              <w:bottom w:val="single" w:sz="4" w:space="0" w:color="auto"/>
            </w:tcBorders>
            <w:vAlign w:val="bottom"/>
          </w:tcPr>
          <w:p w:rsidR="005F05F0" w:rsidRPr="005F05F0" w:rsidRDefault="005F05F0" w:rsidP="00135570">
            <w:pPr>
              <w:jc w:val="center"/>
              <w:rPr>
                <w:rFonts w:ascii="Calibri" w:hAnsi="Calibri"/>
                <w:color w:val="000000"/>
                <w:sz w:val="16"/>
                <w:szCs w:val="16"/>
              </w:rPr>
            </w:pPr>
            <w:r w:rsidRPr="005F05F0">
              <w:rPr>
                <w:rFonts w:ascii="Calibri" w:hAnsi="Calibri"/>
                <w:color w:val="000000"/>
                <w:sz w:val="16"/>
                <w:szCs w:val="16"/>
              </w:rPr>
              <w:t>907.9</w:t>
            </w:r>
            <w:r>
              <w:rPr>
                <w:rFonts w:ascii="Calibri" w:hAnsi="Calibri"/>
                <w:color w:val="000000"/>
                <w:sz w:val="16"/>
                <w:szCs w:val="16"/>
              </w:rPr>
              <w:t>5</w:t>
            </w:r>
          </w:p>
        </w:tc>
        <w:tc>
          <w:tcPr>
            <w:tcW w:w="900" w:type="dxa"/>
            <w:tcBorders>
              <w:top w:val="nil"/>
              <w:bottom w:val="single" w:sz="4" w:space="0" w:color="auto"/>
            </w:tcBorders>
            <w:vAlign w:val="bottom"/>
          </w:tcPr>
          <w:p w:rsidR="005F05F0" w:rsidRPr="005F05F0" w:rsidRDefault="005F05F0" w:rsidP="00135570">
            <w:pPr>
              <w:jc w:val="center"/>
              <w:rPr>
                <w:rFonts w:ascii="Calibri" w:hAnsi="Calibri"/>
                <w:color w:val="000000"/>
                <w:sz w:val="16"/>
              </w:rPr>
            </w:pPr>
            <w:r w:rsidRPr="005F05F0">
              <w:rPr>
                <w:rFonts w:ascii="Calibri" w:hAnsi="Calibri"/>
                <w:color w:val="000000"/>
                <w:sz w:val="16"/>
              </w:rPr>
              <w:t>17015.6</w:t>
            </w:r>
            <w:r>
              <w:rPr>
                <w:rFonts w:ascii="Calibri" w:hAnsi="Calibri"/>
                <w:color w:val="000000"/>
                <w:sz w:val="16"/>
              </w:rPr>
              <w:t>0</w:t>
            </w:r>
          </w:p>
        </w:tc>
        <w:tc>
          <w:tcPr>
            <w:tcW w:w="270" w:type="dxa"/>
            <w:tcBorders>
              <w:top w:val="nil"/>
              <w:bottom w:val="single" w:sz="4" w:space="0" w:color="auto"/>
            </w:tcBorders>
          </w:tcPr>
          <w:p w:rsidR="005F05F0" w:rsidRPr="005F05F0" w:rsidRDefault="005F05F0" w:rsidP="00135570">
            <w:pPr>
              <w:autoSpaceDE w:val="0"/>
              <w:autoSpaceDN w:val="0"/>
              <w:adjustRightInd w:val="0"/>
              <w:jc w:val="center"/>
              <w:rPr>
                <w:color w:val="000000"/>
                <w:sz w:val="16"/>
                <w:szCs w:val="16"/>
                <w:shd w:val="clear" w:color="auto" w:fill="FFFFFF"/>
              </w:rPr>
            </w:pPr>
          </w:p>
        </w:tc>
        <w:tc>
          <w:tcPr>
            <w:tcW w:w="990" w:type="dxa"/>
            <w:tcBorders>
              <w:top w:val="nil"/>
              <w:bottom w:val="single" w:sz="4" w:space="0" w:color="auto"/>
            </w:tcBorders>
          </w:tcPr>
          <w:p w:rsidR="005F05F0" w:rsidRPr="005F05F0" w:rsidRDefault="005F05F0" w:rsidP="00135570">
            <w:pPr>
              <w:autoSpaceDE w:val="0"/>
              <w:autoSpaceDN w:val="0"/>
              <w:adjustRightInd w:val="0"/>
              <w:jc w:val="center"/>
              <w:rPr>
                <w:color w:val="000000"/>
                <w:sz w:val="16"/>
                <w:szCs w:val="16"/>
                <w:shd w:val="clear" w:color="auto" w:fill="FFFFFF"/>
              </w:rPr>
            </w:pPr>
            <w:r w:rsidRPr="005F05F0">
              <w:rPr>
                <w:rFonts w:ascii="Calibri" w:eastAsia="Times New Roman" w:hAnsi="Calibri" w:cs="Times New Roman"/>
                <w:color w:val="000000"/>
                <w:sz w:val="16"/>
                <w:szCs w:val="16"/>
              </w:rPr>
              <w:t>17151.662</w:t>
            </w:r>
          </w:p>
        </w:tc>
        <w:tc>
          <w:tcPr>
            <w:tcW w:w="720" w:type="dxa"/>
            <w:tcBorders>
              <w:top w:val="nil"/>
              <w:bottom w:val="single" w:sz="4" w:space="0" w:color="auto"/>
            </w:tcBorders>
            <w:vAlign w:val="bottom"/>
          </w:tcPr>
          <w:p w:rsidR="005F05F0" w:rsidRPr="005F05F0" w:rsidRDefault="005F05F0" w:rsidP="00135570">
            <w:pPr>
              <w:jc w:val="center"/>
              <w:rPr>
                <w:rFonts w:ascii="Calibri" w:hAnsi="Calibri"/>
                <w:color w:val="000000"/>
                <w:sz w:val="16"/>
              </w:rPr>
            </w:pPr>
            <w:r w:rsidRPr="005F05F0">
              <w:rPr>
                <w:rFonts w:ascii="Calibri" w:hAnsi="Calibri"/>
                <w:color w:val="000000"/>
                <w:sz w:val="16"/>
              </w:rPr>
              <w:t>472.68</w:t>
            </w:r>
          </w:p>
        </w:tc>
        <w:tc>
          <w:tcPr>
            <w:tcW w:w="630" w:type="dxa"/>
            <w:tcBorders>
              <w:top w:val="nil"/>
              <w:bottom w:val="single" w:sz="4" w:space="0" w:color="auto"/>
            </w:tcBorders>
          </w:tcPr>
          <w:p w:rsidR="005F05F0" w:rsidRPr="005F05F0" w:rsidRDefault="005F05F0" w:rsidP="00135570">
            <w:pPr>
              <w:autoSpaceDE w:val="0"/>
              <w:autoSpaceDN w:val="0"/>
              <w:adjustRightInd w:val="0"/>
              <w:jc w:val="center"/>
              <w:rPr>
                <w:color w:val="000000"/>
                <w:sz w:val="16"/>
                <w:szCs w:val="16"/>
                <w:shd w:val="clear" w:color="auto" w:fill="FFFFFF"/>
              </w:rPr>
            </w:pPr>
            <w:r w:rsidRPr="005F05F0">
              <w:rPr>
                <w:color w:val="000000"/>
                <w:sz w:val="16"/>
                <w:szCs w:val="16"/>
                <w:shd w:val="clear" w:color="auto" w:fill="FFFFFF"/>
              </w:rPr>
              <w:t>-0.26</w:t>
            </w:r>
          </w:p>
        </w:tc>
      </w:tr>
      <w:bookmarkEnd w:id="275"/>
      <w:bookmarkEnd w:id="276"/>
    </w:tbl>
    <w:p w:rsidR="00AD1B40" w:rsidRDefault="00AD1B40" w:rsidP="00F21258">
      <w:pPr>
        <w:autoSpaceDE w:val="0"/>
        <w:autoSpaceDN w:val="0"/>
        <w:adjustRightInd w:val="0"/>
        <w:spacing w:after="0"/>
        <w:jc w:val="both"/>
        <w:rPr>
          <w:sz w:val="28"/>
        </w:rPr>
      </w:pPr>
    </w:p>
    <w:p w:rsidR="00F00EA5" w:rsidRDefault="00B471B9" w:rsidP="00E00EFD">
      <w:pPr>
        <w:autoSpaceDE w:val="0"/>
        <w:autoSpaceDN w:val="0"/>
        <w:adjustRightInd w:val="0"/>
        <w:spacing w:after="0"/>
        <w:ind w:firstLine="720"/>
        <w:jc w:val="both"/>
        <w:rPr>
          <w:color w:val="000000"/>
          <w:shd w:val="clear" w:color="auto" w:fill="FFFFFF"/>
        </w:rPr>
      </w:pPr>
      <w:bookmarkStart w:id="277" w:name="OLE_LINK433"/>
      <w:bookmarkStart w:id="278" w:name="OLE_LINK434"/>
      <w:bookmarkStart w:id="279" w:name="OLE_LINK435"/>
      <w:r>
        <w:rPr>
          <w:color w:val="000000"/>
          <w:shd w:val="clear" w:color="auto" w:fill="FFFFFF"/>
        </w:rPr>
        <w:t xml:space="preserve">Overall, our </w:t>
      </w:r>
      <w:r w:rsidRPr="004E3AA0">
        <w:rPr>
          <w:color w:val="000000"/>
          <w:shd w:val="clear" w:color="auto" w:fill="FFFFFF"/>
        </w:rPr>
        <w:t xml:space="preserve">algorithm </w:t>
      </w:r>
      <w:r>
        <w:rPr>
          <w:color w:val="000000"/>
          <w:shd w:val="clear" w:color="auto" w:fill="FFFFFF"/>
        </w:rPr>
        <w:t>exhibits a stable and reliable performance. In particular, it outperforms existing approaches and 12 new best solutions are obtained. Cost reductions up to 0.9% are reached, while the worst gap from the BKS for the three instances where the proposed algorithm generated a worse solution is less than 0.29%. On average, the improvement on the BKS is 0.26%. On the other hand, the multiple simulation runs revealed no significant variations with respect to the solution cost. Finally, it is worth to highlight that the proposed method scales very well in terms of solution quality and computational times with respect to the problem size</w:t>
      </w:r>
      <w:bookmarkEnd w:id="277"/>
      <w:bookmarkEnd w:id="278"/>
      <w:bookmarkEnd w:id="279"/>
      <w:r>
        <w:rPr>
          <w:color w:val="000000"/>
          <w:shd w:val="clear" w:color="auto" w:fill="FFFFFF"/>
        </w:rPr>
        <w:t>.</w:t>
      </w:r>
      <w:bookmarkStart w:id="280" w:name="OLE_LINK65"/>
      <w:bookmarkStart w:id="281" w:name="OLE_LINK230"/>
    </w:p>
    <w:p w:rsidR="00E00EFD" w:rsidRPr="00E00EFD" w:rsidRDefault="00E00EFD" w:rsidP="00E00EFD">
      <w:pPr>
        <w:autoSpaceDE w:val="0"/>
        <w:autoSpaceDN w:val="0"/>
        <w:adjustRightInd w:val="0"/>
        <w:spacing w:after="0"/>
        <w:ind w:firstLine="720"/>
        <w:jc w:val="both"/>
        <w:rPr>
          <w:sz w:val="28"/>
        </w:rPr>
      </w:pPr>
    </w:p>
    <w:p w:rsidR="00343891" w:rsidRPr="00531714" w:rsidRDefault="00210FDB" w:rsidP="00D204A3">
      <w:pPr>
        <w:pStyle w:val="RoadefTexte"/>
        <w:tabs>
          <w:tab w:val="left" w:pos="720"/>
        </w:tabs>
        <w:spacing w:line="276" w:lineRule="auto"/>
        <w:ind w:firstLine="0"/>
        <w:outlineLvl w:val="0"/>
        <w:rPr>
          <w:rFonts w:asciiTheme="minorHAnsi" w:eastAsiaTheme="minorHAnsi" w:hAnsiTheme="minorHAnsi" w:cstheme="minorBidi"/>
          <w:i/>
          <w:lang w:val="en-US"/>
        </w:rPr>
      </w:pPr>
      <w:r w:rsidRPr="00531714">
        <w:rPr>
          <w:rFonts w:asciiTheme="minorHAnsi" w:eastAsiaTheme="minorHAnsi" w:hAnsiTheme="minorHAnsi" w:cstheme="minorBidi"/>
          <w:i/>
          <w:lang w:val="en-US"/>
        </w:rPr>
        <w:t>Assessment of Dir</w:t>
      </w:r>
      <w:r w:rsidR="00DC6D8D">
        <w:rPr>
          <w:rFonts w:asciiTheme="minorHAnsi" w:eastAsiaTheme="minorHAnsi" w:hAnsiTheme="minorHAnsi" w:cstheme="minorBidi"/>
          <w:i/>
          <w:lang w:val="en-US"/>
        </w:rPr>
        <w:t>ect Shipping and Cross-Docking s</w:t>
      </w:r>
      <w:r w:rsidRPr="00531714">
        <w:rPr>
          <w:rFonts w:asciiTheme="minorHAnsi" w:eastAsiaTheme="minorHAnsi" w:hAnsiTheme="minorHAnsi" w:cstheme="minorBidi"/>
          <w:i/>
          <w:lang w:val="en-US"/>
        </w:rPr>
        <w:t xml:space="preserve">trategies on Data Set I </w:t>
      </w:r>
    </w:p>
    <w:p w:rsidR="00F00EA5" w:rsidRDefault="00F81759" w:rsidP="00F00EA5">
      <w:pPr>
        <w:pStyle w:val="RoadefTexte"/>
        <w:tabs>
          <w:tab w:val="left" w:pos="720"/>
        </w:tabs>
        <w:spacing w:after="0" w:line="276" w:lineRule="auto"/>
        <w:ind w:firstLine="0"/>
        <w:outlineLvl w:val="0"/>
        <w:rPr>
          <w:rFonts w:asciiTheme="minorHAnsi" w:eastAsiaTheme="minorHAnsi" w:hAnsiTheme="minorHAnsi" w:cstheme="minorBidi"/>
          <w:i/>
          <w:lang w:val="en-US"/>
        </w:rPr>
      </w:pPr>
      <w:commentRangeStart w:id="282"/>
      <w:r w:rsidRPr="00531714">
        <w:rPr>
          <w:rFonts w:asciiTheme="minorHAnsi" w:eastAsiaTheme="minorHAnsi" w:hAnsiTheme="minorHAnsi" w:cstheme="minorBidi"/>
          <w:i/>
          <w:lang w:val="en-US"/>
        </w:rPr>
        <w:t>Experimental</w:t>
      </w:r>
      <w:commentRangeEnd w:id="282"/>
      <w:r w:rsidRPr="00531714">
        <w:rPr>
          <w:rStyle w:val="CommentReference"/>
          <w:rFonts w:asciiTheme="minorHAnsi" w:eastAsiaTheme="minorHAnsi" w:hAnsiTheme="minorHAnsi" w:cstheme="minorBidi"/>
          <w:i/>
          <w:lang w:val="en-US"/>
        </w:rPr>
        <w:commentReference w:id="282"/>
      </w:r>
      <w:r w:rsidRPr="00531714">
        <w:rPr>
          <w:rFonts w:asciiTheme="minorHAnsi" w:eastAsiaTheme="minorHAnsi" w:hAnsiTheme="minorHAnsi" w:cstheme="minorBidi"/>
          <w:i/>
          <w:lang w:val="en-US"/>
        </w:rPr>
        <w:t xml:space="preserve"> </w:t>
      </w:r>
      <w:r w:rsidR="00DC6D8D">
        <w:rPr>
          <w:rFonts w:asciiTheme="minorHAnsi" w:eastAsiaTheme="minorHAnsi" w:hAnsiTheme="minorHAnsi" w:cstheme="minorBidi"/>
          <w:i/>
          <w:lang w:val="en-US"/>
        </w:rPr>
        <w:t>s</w:t>
      </w:r>
      <w:r w:rsidRPr="00531714">
        <w:rPr>
          <w:rFonts w:asciiTheme="minorHAnsi" w:eastAsiaTheme="minorHAnsi" w:hAnsiTheme="minorHAnsi" w:cstheme="minorBidi"/>
          <w:i/>
          <w:lang w:val="en-US"/>
        </w:rPr>
        <w:t>etup and</w:t>
      </w:r>
      <w:r w:rsidR="00DC6D8D">
        <w:rPr>
          <w:rFonts w:asciiTheme="minorHAnsi" w:eastAsiaTheme="minorHAnsi" w:hAnsiTheme="minorHAnsi" w:cstheme="minorBidi"/>
          <w:i/>
          <w:lang w:val="en-US"/>
        </w:rPr>
        <w:t xml:space="preserve"> c</w:t>
      </w:r>
      <w:r w:rsidRPr="00531714">
        <w:rPr>
          <w:rFonts w:asciiTheme="minorHAnsi" w:eastAsiaTheme="minorHAnsi" w:hAnsiTheme="minorHAnsi" w:cstheme="minorBidi"/>
          <w:i/>
          <w:lang w:val="en-US"/>
        </w:rPr>
        <w:t>haracteristics of Data Set I</w:t>
      </w:r>
    </w:p>
    <w:p w:rsidR="000E0DD8" w:rsidRPr="00F00EA5" w:rsidRDefault="00E968CC" w:rsidP="00F00EA5">
      <w:pPr>
        <w:pStyle w:val="RoadefTexte"/>
        <w:tabs>
          <w:tab w:val="left" w:pos="720"/>
        </w:tabs>
        <w:spacing w:after="0" w:line="276" w:lineRule="auto"/>
        <w:ind w:firstLine="0"/>
        <w:outlineLvl w:val="0"/>
        <w:rPr>
          <w:rFonts w:asciiTheme="minorHAnsi" w:eastAsia="Times New Roman" w:hAnsiTheme="minorHAnsi"/>
          <w:lang w:val="en-US"/>
        </w:rPr>
      </w:pPr>
      <w:r w:rsidRPr="00F00EA5">
        <w:rPr>
          <w:rFonts w:asciiTheme="minorHAnsi" w:eastAsia="Times New Roman" w:hAnsiTheme="minorHAnsi"/>
          <w:lang w:val="en-US"/>
        </w:rPr>
        <w:t xml:space="preserve">To analyze the relative effectiveness of the </w:t>
      </w:r>
      <w:r w:rsidR="00210FDB" w:rsidRPr="00F00EA5">
        <w:rPr>
          <w:rFonts w:asciiTheme="minorHAnsi" w:eastAsia="Times New Roman" w:hAnsiTheme="minorHAnsi"/>
          <w:lang w:val="en-US"/>
        </w:rPr>
        <w:t>direct shipping and cross-docking strategies</w:t>
      </w:r>
      <w:r w:rsidRPr="00F00EA5">
        <w:rPr>
          <w:rFonts w:asciiTheme="minorHAnsi" w:eastAsia="Times New Roman" w:hAnsiTheme="minorHAnsi"/>
          <w:lang w:val="en-US"/>
        </w:rPr>
        <w:t xml:space="preserve">, we have </w:t>
      </w:r>
      <w:r w:rsidR="00210FDB" w:rsidRPr="00F00EA5">
        <w:rPr>
          <w:rFonts w:asciiTheme="minorHAnsi" w:eastAsia="Times New Roman" w:hAnsiTheme="minorHAnsi"/>
          <w:lang w:val="en-US"/>
        </w:rPr>
        <w:t xml:space="preserve">introduced </w:t>
      </w:r>
      <w:r w:rsidRPr="00F00EA5">
        <w:rPr>
          <w:rFonts w:asciiTheme="minorHAnsi" w:eastAsia="Times New Roman" w:hAnsiTheme="minorHAnsi"/>
          <w:lang w:val="en-US"/>
        </w:rPr>
        <w:t xml:space="preserve">a </w:t>
      </w:r>
      <w:r w:rsidR="00F75E8A" w:rsidRPr="00F00EA5">
        <w:rPr>
          <w:rFonts w:asciiTheme="minorHAnsi" w:eastAsia="Times New Roman" w:hAnsiTheme="minorHAnsi"/>
          <w:lang w:val="en-US"/>
        </w:rPr>
        <w:t>set</w:t>
      </w:r>
      <w:r w:rsidRPr="00F00EA5">
        <w:rPr>
          <w:rFonts w:asciiTheme="minorHAnsi" w:eastAsia="Times New Roman" w:hAnsiTheme="minorHAnsi"/>
          <w:lang w:val="en-US"/>
        </w:rPr>
        <w:t xml:space="preserve"> of benchmark instances (Data Set I)</w:t>
      </w:r>
      <w:bookmarkStart w:id="283" w:name="OLE_LINK246"/>
      <w:bookmarkStart w:id="284" w:name="OLE_LINK247"/>
      <w:bookmarkStart w:id="285" w:name="OLE_LINK248"/>
      <w:bookmarkStart w:id="286" w:name="OLE_LINK676"/>
      <w:bookmarkStart w:id="287" w:name="OLE_LINK677"/>
      <w:bookmarkStart w:id="288" w:name="OLE_LINK678"/>
      <w:bookmarkEnd w:id="280"/>
      <w:bookmarkEnd w:id="281"/>
      <w:r w:rsidR="00210FDB" w:rsidRPr="00F00EA5">
        <w:rPr>
          <w:rFonts w:asciiTheme="minorHAnsi" w:eastAsia="Times New Roman" w:hAnsiTheme="minorHAnsi"/>
          <w:lang w:val="en-US"/>
        </w:rPr>
        <w:t xml:space="preserve"> with </w:t>
      </w:r>
      <w:r w:rsidR="00614546" w:rsidRPr="00F00EA5">
        <w:rPr>
          <w:rFonts w:asciiTheme="minorHAnsi" w:eastAsia="Times New Roman" w:hAnsiTheme="minorHAnsi"/>
          <w:lang w:val="en-US"/>
        </w:rPr>
        <w:t>unique</w:t>
      </w:r>
      <w:r w:rsidR="00430687" w:rsidRPr="00F00EA5">
        <w:rPr>
          <w:rFonts w:asciiTheme="minorHAnsi" w:eastAsia="Times New Roman" w:hAnsiTheme="minorHAnsi"/>
          <w:lang w:val="en-US"/>
        </w:rPr>
        <w:t xml:space="preserve"> pickup and delivery </w:t>
      </w:r>
      <w:r w:rsidR="00614546" w:rsidRPr="00F00EA5">
        <w:rPr>
          <w:rFonts w:asciiTheme="minorHAnsi" w:eastAsia="Times New Roman" w:hAnsiTheme="minorHAnsi"/>
          <w:lang w:val="en-US"/>
        </w:rPr>
        <w:t>nodes (i.e. one-to-one relation of pickup and delivery locations)</w:t>
      </w:r>
      <w:r w:rsidR="00430687" w:rsidRPr="00F00EA5">
        <w:rPr>
          <w:rFonts w:asciiTheme="minorHAnsi" w:eastAsia="Times New Roman" w:hAnsiTheme="minorHAnsi"/>
          <w:lang w:val="en-US"/>
        </w:rPr>
        <w:t>.</w:t>
      </w:r>
      <w:r w:rsidR="000E0DD8" w:rsidRPr="00F00EA5">
        <w:rPr>
          <w:rFonts w:asciiTheme="minorHAnsi" w:eastAsia="Times New Roman" w:hAnsiTheme="minorHAnsi"/>
          <w:lang w:val="en-US"/>
        </w:rPr>
        <w:t xml:space="preserve"> Data Set I consists of </w:t>
      </w:r>
      <w:r w:rsidR="00D00406" w:rsidRPr="00F00EA5">
        <w:rPr>
          <w:rFonts w:asciiTheme="minorHAnsi" w:eastAsia="Times New Roman" w:hAnsiTheme="minorHAnsi"/>
          <w:lang w:val="en-US"/>
        </w:rPr>
        <w:t>graphs</w:t>
      </w:r>
      <w:r w:rsidR="00C34ED3" w:rsidRPr="00F00EA5">
        <w:rPr>
          <w:rFonts w:asciiTheme="minorHAnsi" w:eastAsia="Times New Roman" w:hAnsiTheme="minorHAnsi"/>
          <w:lang w:val="en-US"/>
        </w:rPr>
        <w:t xml:space="preserve"> </w:t>
      </w:r>
      <w:r w:rsidR="00D00406" w:rsidRPr="00F00EA5">
        <w:rPr>
          <w:rFonts w:asciiTheme="minorHAnsi" w:eastAsia="Times New Roman" w:hAnsiTheme="minorHAnsi"/>
          <w:lang w:val="en-US"/>
        </w:rPr>
        <w:t xml:space="preserve">where the </w:t>
      </w:r>
      <w:r w:rsidR="00E44AA9" w:rsidRPr="00F00EA5">
        <w:rPr>
          <w:rFonts w:asciiTheme="minorHAnsi" w:eastAsia="Times New Roman" w:hAnsiTheme="minorHAnsi"/>
          <w:lang w:val="en-US"/>
        </w:rPr>
        <w:t xml:space="preserve">total number of </w:t>
      </w:r>
      <w:r w:rsidR="00D00406" w:rsidRPr="00F00EA5">
        <w:rPr>
          <w:rFonts w:asciiTheme="minorHAnsi" w:eastAsia="Times New Roman" w:hAnsiTheme="minorHAnsi"/>
          <w:lang w:val="en-US"/>
        </w:rPr>
        <w:t xml:space="preserve">transportation requests </w:t>
      </w:r>
      <w:r w:rsidR="0078764A" w:rsidRPr="00F00EA5">
        <w:rPr>
          <w:rFonts w:asciiTheme="minorHAnsi" w:eastAsia="Times New Roman" w:hAnsiTheme="minorHAnsi"/>
          <w:lang w:val="en-US"/>
        </w:rPr>
        <w:t>n</w:t>
      </w:r>
      <w:r w:rsidR="00C34ED3" w:rsidRPr="00F00EA5">
        <w:rPr>
          <w:rFonts w:asciiTheme="minorHAnsi" w:eastAsia="Times New Roman" w:hAnsiTheme="minorHAnsi"/>
          <w:lang w:val="en-US"/>
        </w:rPr>
        <w:t xml:space="preserve"> </w:t>
      </w:r>
      <w:r w:rsidR="004129FF" w:rsidRPr="00F00EA5">
        <w:rPr>
          <w:rFonts w:asciiTheme="minorHAnsi" w:eastAsia="Times New Roman" w:hAnsiTheme="minorHAnsi"/>
          <w:lang w:val="en-US"/>
        </w:rPr>
        <w:t xml:space="preserve">was </w:t>
      </w:r>
      <w:r w:rsidR="005E1261" w:rsidRPr="00F00EA5">
        <w:rPr>
          <w:rFonts w:asciiTheme="minorHAnsi" w:eastAsia="Times New Roman" w:hAnsiTheme="minorHAnsi"/>
          <w:lang w:val="en-US"/>
        </w:rPr>
        <w:t xml:space="preserve">taken from the set </w:t>
      </w:r>
      <w:r w:rsidR="00430687" w:rsidRPr="00F00EA5">
        <w:rPr>
          <w:rFonts w:asciiTheme="minorHAnsi" w:eastAsia="Times New Roman" w:hAnsiTheme="minorHAnsi"/>
          <w:lang w:val="en-US"/>
        </w:rPr>
        <w:t>R</w:t>
      </w:r>
      <w:r w:rsidR="00614546" w:rsidRPr="00F00EA5">
        <w:rPr>
          <w:rFonts w:asciiTheme="minorHAnsi" w:eastAsia="Times New Roman" w:hAnsiTheme="minorHAnsi"/>
          <w:lang w:val="en-US"/>
        </w:rPr>
        <w:t xml:space="preserve"> </w:t>
      </w:r>
      <w:r w:rsidR="00D00406" w:rsidRPr="00F00EA5">
        <w:rPr>
          <w:rFonts w:asciiTheme="minorHAnsi" w:eastAsia="Times New Roman" w:hAnsiTheme="minorHAnsi"/>
          <w:lang w:val="en-US"/>
        </w:rPr>
        <w:t>= {12, 28, 36, 48}. E</w:t>
      </w:r>
      <w:r w:rsidR="00F535AB" w:rsidRPr="00F00EA5">
        <w:rPr>
          <w:rFonts w:asciiTheme="minorHAnsi" w:eastAsia="Times New Roman" w:hAnsiTheme="minorHAnsi"/>
          <w:lang w:val="en-US"/>
        </w:rPr>
        <w:t xml:space="preserve">ach </w:t>
      </w:r>
      <w:r w:rsidR="00946C5B" w:rsidRPr="00F00EA5">
        <w:rPr>
          <w:rFonts w:asciiTheme="minorHAnsi" w:eastAsia="Times New Roman" w:hAnsiTheme="minorHAnsi"/>
          <w:lang w:val="en-US"/>
        </w:rPr>
        <w:t xml:space="preserve">request </w:t>
      </w:r>
      <w:r w:rsidR="000262D1" w:rsidRPr="00F00EA5">
        <w:rPr>
          <w:rFonts w:asciiTheme="minorHAnsi" w:eastAsia="Times New Roman" w:hAnsiTheme="minorHAnsi"/>
          <w:lang w:val="en-US"/>
        </w:rPr>
        <w:t>is</w:t>
      </w:r>
      <w:r w:rsidR="00946C5B" w:rsidRPr="00F00EA5">
        <w:rPr>
          <w:rFonts w:asciiTheme="minorHAnsi" w:eastAsia="Times New Roman" w:hAnsiTheme="minorHAnsi"/>
          <w:lang w:val="en-US"/>
        </w:rPr>
        <w:t xml:space="preserve"> associated with a </w:t>
      </w:r>
      <w:r w:rsidR="00E960A2" w:rsidRPr="00F00EA5">
        <w:rPr>
          <w:rFonts w:asciiTheme="minorHAnsi" w:eastAsia="Times New Roman" w:hAnsiTheme="minorHAnsi"/>
          <w:lang w:val="en-US"/>
        </w:rPr>
        <w:lastRenderedPageBreak/>
        <w:t>supplier-</w:t>
      </w:r>
      <w:r w:rsidR="00F535AB" w:rsidRPr="00F00EA5">
        <w:rPr>
          <w:rFonts w:asciiTheme="minorHAnsi" w:eastAsia="Times New Roman" w:hAnsiTheme="minorHAnsi"/>
          <w:lang w:val="en-US"/>
        </w:rPr>
        <w:t>customer</w:t>
      </w:r>
      <w:r w:rsidR="00E960A2" w:rsidRPr="00F00EA5">
        <w:rPr>
          <w:rFonts w:asciiTheme="minorHAnsi" w:eastAsia="Times New Roman" w:hAnsiTheme="minorHAnsi"/>
          <w:lang w:val="en-US"/>
        </w:rPr>
        <w:t xml:space="preserve"> pair</w:t>
      </w:r>
      <w:r w:rsidR="00D00406" w:rsidRPr="00F00EA5">
        <w:rPr>
          <w:rFonts w:asciiTheme="minorHAnsi" w:eastAsia="Times New Roman" w:hAnsiTheme="minorHAnsi"/>
          <w:lang w:val="en-US"/>
        </w:rPr>
        <w:t xml:space="preserve"> leading to graphs with 24, 56, 72 and 96 nodes</w:t>
      </w:r>
      <w:r w:rsidR="000262D1" w:rsidRPr="00F00EA5">
        <w:rPr>
          <w:rFonts w:asciiTheme="minorHAnsi" w:eastAsia="Times New Roman" w:hAnsiTheme="minorHAnsi"/>
          <w:lang w:val="en-US"/>
        </w:rPr>
        <w:t xml:space="preserve"> in total</w:t>
      </w:r>
      <w:r w:rsidR="00C31271" w:rsidRPr="00F00EA5">
        <w:rPr>
          <w:rFonts w:asciiTheme="minorHAnsi" w:eastAsia="Times New Roman" w:hAnsiTheme="minorHAnsi"/>
          <w:lang w:val="en-US"/>
        </w:rPr>
        <w:t xml:space="preserve">. </w:t>
      </w:r>
      <w:bookmarkStart w:id="289" w:name="OLE_LINK367"/>
      <w:bookmarkStart w:id="290" w:name="OLE_LINK368"/>
      <w:bookmarkEnd w:id="283"/>
      <w:bookmarkEnd w:id="284"/>
      <w:bookmarkEnd w:id="285"/>
      <w:r w:rsidR="00571B91" w:rsidRPr="00F00EA5">
        <w:rPr>
          <w:rFonts w:asciiTheme="minorHAnsi" w:eastAsia="Times New Roman" w:hAnsiTheme="minorHAnsi"/>
          <w:lang w:val="en-US"/>
        </w:rPr>
        <w:t xml:space="preserve">These nodes are positioned in a [0,100]2 grid. </w:t>
      </w:r>
      <w:r w:rsidR="009E0E68" w:rsidRPr="00F00EA5">
        <w:rPr>
          <w:rFonts w:asciiTheme="minorHAnsi" w:eastAsia="Times New Roman" w:hAnsiTheme="minorHAnsi"/>
          <w:lang w:val="en-US"/>
        </w:rPr>
        <w:t xml:space="preserve">The </w:t>
      </w:r>
      <w:r w:rsidR="00E1370D" w:rsidRPr="00F00EA5">
        <w:rPr>
          <w:rFonts w:asciiTheme="minorHAnsi" w:eastAsia="Times New Roman" w:hAnsiTheme="minorHAnsi"/>
          <w:lang w:val="en-US"/>
        </w:rPr>
        <w:t xml:space="preserve">quantity </w:t>
      </w:r>
      <w:proofErr w:type="spellStart"/>
      <w:proofErr w:type="gramStart"/>
      <w:r w:rsidR="00E1370D" w:rsidRPr="00F00EA5">
        <w:rPr>
          <w:rFonts w:asciiTheme="minorHAnsi" w:eastAsia="Times New Roman" w:hAnsiTheme="minorHAnsi"/>
          <w:lang w:val="en-US"/>
        </w:rPr>
        <w:t>q</w:t>
      </w:r>
      <w:r w:rsidR="004B0A15" w:rsidRPr="00F00EA5">
        <w:rPr>
          <w:rFonts w:asciiTheme="minorHAnsi" w:eastAsia="Times New Roman" w:hAnsiTheme="minorHAnsi"/>
          <w:lang w:val="en-US"/>
        </w:rPr>
        <w:t>r</w:t>
      </w:r>
      <w:proofErr w:type="spellEnd"/>
      <w:proofErr w:type="gramEnd"/>
      <w:r w:rsidR="00C34ED3" w:rsidRPr="00F00EA5">
        <w:rPr>
          <w:rFonts w:asciiTheme="minorHAnsi" w:eastAsia="Times New Roman" w:hAnsiTheme="minorHAnsi"/>
          <w:lang w:val="en-US"/>
        </w:rPr>
        <w:t xml:space="preserve"> </w:t>
      </w:r>
      <w:r w:rsidR="00106A45" w:rsidRPr="00F00EA5">
        <w:rPr>
          <w:rFonts w:asciiTheme="minorHAnsi" w:eastAsia="Times New Roman" w:hAnsiTheme="minorHAnsi"/>
          <w:lang w:val="en-US"/>
        </w:rPr>
        <w:t xml:space="preserve">of </w:t>
      </w:r>
      <w:r w:rsidR="009E0E68" w:rsidRPr="00F00EA5">
        <w:rPr>
          <w:rFonts w:asciiTheme="minorHAnsi" w:eastAsia="Times New Roman" w:hAnsiTheme="minorHAnsi"/>
          <w:lang w:val="en-US"/>
        </w:rPr>
        <w:t xml:space="preserve">each </w:t>
      </w:r>
      <w:r w:rsidR="000E0DD8" w:rsidRPr="00F00EA5">
        <w:rPr>
          <w:rFonts w:asciiTheme="minorHAnsi" w:eastAsia="Times New Roman" w:hAnsiTheme="minorHAnsi"/>
          <w:lang w:val="en-US"/>
        </w:rPr>
        <w:t xml:space="preserve">transportation </w:t>
      </w:r>
      <w:r w:rsidR="009E0E68" w:rsidRPr="00F00EA5">
        <w:rPr>
          <w:rFonts w:asciiTheme="minorHAnsi" w:eastAsia="Times New Roman" w:hAnsiTheme="minorHAnsi"/>
          <w:lang w:val="en-US"/>
        </w:rPr>
        <w:t xml:space="preserve">request </w:t>
      </w:r>
      <w:bookmarkStart w:id="291" w:name="OLE_LINK98"/>
      <w:bookmarkStart w:id="292" w:name="OLE_LINK108"/>
      <w:r w:rsidR="00614546" w:rsidRPr="00F00EA5">
        <w:rPr>
          <w:rFonts w:asciiTheme="minorHAnsi" w:eastAsia="Times New Roman" w:hAnsiTheme="minorHAnsi"/>
          <w:lang w:val="en-US"/>
        </w:rPr>
        <w:t xml:space="preserve">randomly takes integer values within </w:t>
      </w:r>
      <w:r w:rsidR="00DC6D8D" w:rsidRPr="00F00EA5">
        <w:rPr>
          <w:rFonts w:asciiTheme="minorHAnsi" w:eastAsia="Times New Roman" w:hAnsiTheme="minorHAnsi"/>
          <w:lang w:val="en-US"/>
        </w:rPr>
        <w:t xml:space="preserve">the range </w:t>
      </w:r>
      <w:r w:rsidR="00614546" w:rsidRPr="00F00EA5">
        <w:rPr>
          <w:rFonts w:asciiTheme="minorHAnsi" w:eastAsia="Times New Roman" w:hAnsiTheme="minorHAnsi"/>
          <w:lang w:val="en-US"/>
        </w:rPr>
        <w:t>[1,</w:t>
      </w:r>
      <w:r w:rsidR="00041C95" w:rsidRPr="00F00EA5">
        <w:rPr>
          <w:rFonts w:asciiTheme="minorHAnsi" w:eastAsia="Times New Roman" w:hAnsiTheme="minorHAnsi"/>
          <w:lang w:val="en-US"/>
        </w:rPr>
        <w:t xml:space="preserve"> </w:t>
      </w:r>
      <w:r w:rsidR="00614546" w:rsidRPr="00F00EA5">
        <w:rPr>
          <w:rFonts w:asciiTheme="minorHAnsi" w:eastAsia="Times New Roman" w:hAnsiTheme="minorHAnsi"/>
          <w:lang w:val="en-US"/>
        </w:rPr>
        <w:t>30]</w:t>
      </w:r>
      <w:r w:rsidR="00FD14CB" w:rsidRPr="00F00EA5">
        <w:rPr>
          <w:rFonts w:asciiTheme="minorHAnsi" w:eastAsia="Times New Roman" w:hAnsiTheme="minorHAnsi"/>
          <w:lang w:val="en-US"/>
        </w:rPr>
        <w:t>. Every</w:t>
      </w:r>
      <w:r w:rsidR="001C6C84" w:rsidRPr="00F00EA5">
        <w:rPr>
          <w:rFonts w:asciiTheme="minorHAnsi" w:eastAsia="Times New Roman" w:hAnsiTheme="minorHAnsi"/>
          <w:lang w:val="en-US"/>
        </w:rPr>
        <w:t xml:space="preserve"> </w:t>
      </w:r>
      <w:r w:rsidR="00106A45" w:rsidRPr="00F00EA5">
        <w:rPr>
          <w:rFonts w:asciiTheme="minorHAnsi" w:eastAsia="Times New Roman" w:hAnsiTheme="minorHAnsi"/>
          <w:lang w:val="en-US"/>
        </w:rPr>
        <w:t>node in the graph</w:t>
      </w:r>
      <w:r w:rsidR="00C34ED3" w:rsidRPr="00F00EA5">
        <w:rPr>
          <w:rFonts w:asciiTheme="minorHAnsi" w:eastAsia="Times New Roman" w:hAnsiTheme="minorHAnsi"/>
          <w:lang w:val="en-US"/>
        </w:rPr>
        <w:t xml:space="preserve"> </w:t>
      </w:r>
      <w:r w:rsidR="000262D1" w:rsidRPr="00F00EA5">
        <w:rPr>
          <w:rFonts w:asciiTheme="minorHAnsi" w:eastAsia="Times New Roman" w:hAnsiTheme="minorHAnsi"/>
          <w:lang w:val="en-US"/>
        </w:rPr>
        <w:t>is</w:t>
      </w:r>
      <w:r w:rsidR="00587E70" w:rsidRPr="00F00EA5">
        <w:rPr>
          <w:rFonts w:asciiTheme="minorHAnsi" w:eastAsia="Times New Roman" w:hAnsiTheme="minorHAnsi"/>
          <w:lang w:val="en-US"/>
        </w:rPr>
        <w:t xml:space="preserve"> assigned to</w:t>
      </w:r>
      <w:r w:rsidR="001C6C84" w:rsidRPr="00F00EA5">
        <w:rPr>
          <w:rFonts w:asciiTheme="minorHAnsi" w:eastAsia="Times New Roman" w:hAnsiTheme="minorHAnsi"/>
          <w:lang w:val="en-US"/>
        </w:rPr>
        <w:t xml:space="preserve"> a fixed service time </w:t>
      </w:r>
      <w:r w:rsidR="00E1370D" w:rsidRPr="00F00EA5">
        <w:rPr>
          <w:rFonts w:asciiTheme="minorHAnsi" w:eastAsia="Times New Roman" w:hAnsiTheme="minorHAnsi"/>
          <w:lang w:val="en-US"/>
        </w:rPr>
        <w:t xml:space="preserve">of </w:t>
      </w:r>
      <w:r w:rsidR="00DC6D8D" w:rsidRPr="00F00EA5">
        <w:rPr>
          <w:rFonts w:asciiTheme="minorHAnsi" w:eastAsia="Times New Roman" w:hAnsiTheme="minorHAnsi"/>
          <w:lang w:val="en-US"/>
        </w:rPr>
        <w:t>2</w:t>
      </w:r>
      <w:r w:rsidR="00E1370D" w:rsidRPr="00F00EA5">
        <w:rPr>
          <w:rFonts w:asciiTheme="minorHAnsi" w:eastAsia="Times New Roman" w:hAnsiTheme="minorHAnsi"/>
          <w:lang w:val="en-US"/>
        </w:rPr>
        <w:t xml:space="preserve"> time units</w:t>
      </w:r>
      <w:bookmarkEnd w:id="291"/>
      <w:bookmarkEnd w:id="292"/>
      <w:r w:rsidR="00DB4340" w:rsidRPr="00F00EA5">
        <w:rPr>
          <w:rFonts w:asciiTheme="minorHAnsi" w:eastAsia="Times New Roman" w:hAnsiTheme="minorHAnsi"/>
          <w:lang w:val="en-US"/>
        </w:rPr>
        <w:t xml:space="preserve">. </w:t>
      </w:r>
      <w:r w:rsidR="00C31271" w:rsidRPr="00F00EA5">
        <w:rPr>
          <w:rFonts w:asciiTheme="minorHAnsi" w:eastAsia="Times New Roman" w:hAnsiTheme="minorHAnsi"/>
          <w:lang w:val="en-US"/>
        </w:rPr>
        <w:t xml:space="preserve">The </w:t>
      </w:r>
      <w:r w:rsidR="00FA19A3" w:rsidRPr="00F00EA5">
        <w:rPr>
          <w:rFonts w:asciiTheme="minorHAnsi" w:eastAsia="Times New Roman" w:hAnsiTheme="minorHAnsi"/>
          <w:lang w:val="en-US"/>
        </w:rPr>
        <w:t>distance</w:t>
      </w:r>
      <w:r w:rsidR="00C31271" w:rsidRPr="00F00EA5">
        <w:rPr>
          <w:rFonts w:asciiTheme="minorHAnsi" w:eastAsia="Times New Roman" w:hAnsiTheme="minorHAnsi"/>
          <w:lang w:val="en-US"/>
        </w:rPr>
        <w:t xml:space="preserve"> matrix </w:t>
      </w:r>
      <w:r w:rsidR="000262D1" w:rsidRPr="00F00EA5">
        <w:rPr>
          <w:rFonts w:asciiTheme="minorHAnsi" w:eastAsia="Times New Roman" w:hAnsiTheme="minorHAnsi"/>
          <w:lang w:val="en-US"/>
        </w:rPr>
        <w:t>is</w:t>
      </w:r>
      <w:r w:rsidR="00C31271" w:rsidRPr="00F00EA5">
        <w:rPr>
          <w:rFonts w:asciiTheme="minorHAnsi" w:eastAsia="Times New Roman" w:hAnsiTheme="minorHAnsi"/>
          <w:lang w:val="en-US"/>
        </w:rPr>
        <w:t xml:space="preserve"> generated by calculating </w:t>
      </w:r>
      <w:r w:rsidR="00430687" w:rsidRPr="00F00EA5">
        <w:rPr>
          <w:rFonts w:asciiTheme="minorHAnsi" w:eastAsia="Times New Roman" w:hAnsiTheme="minorHAnsi"/>
          <w:lang w:val="en-US"/>
        </w:rPr>
        <w:t xml:space="preserve">the Euclidean distances between </w:t>
      </w:r>
      <w:r w:rsidR="00FA19A3" w:rsidRPr="00F00EA5">
        <w:rPr>
          <w:rFonts w:asciiTheme="minorHAnsi" w:eastAsia="Times New Roman" w:hAnsiTheme="minorHAnsi"/>
          <w:lang w:val="en-US"/>
        </w:rPr>
        <w:t>every</w:t>
      </w:r>
      <w:r w:rsidR="00430687" w:rsidRPr="00F00EA5">
        <w:rPr>
          <w:rFonts w:asciiTheme="minorHAnsi" w:eastAsia="Times New Roman" w:hAnsiTheme="minorHAnsi"/>
          <w:lang w:val="en-US"/>
        </w:rPr>
        <w:t xml:space="preserve"> node </w:t>
      </w:r>
      <w:r w:rsidR="00C31271" w:rsidRPr="00F00EA5">
        <w:rPr>
          <w:rFonts w:asciiTheme="minorHAnsi" w:eastAsia="Times New Roman" w:hAnsiTheme="minorHAnsi"/>
          <w:lang w:val="en-US"/>
        </w:rPr>
        <w:t xml:space="preserve">pair. </w:t>
      </w:r>
      <w:r w:rsidR="00FA19A3" w:rsidRPr="00F00EA5">
        <w:rPr>
          <w:rFonts w:asciiTheme="minorHAnsi" w:eastAsia="Times New Roman" w:hAnsiTheme="minorHAnsi"/>
          <w:lang w:val="en-US"/>
        </w:rPr>
        <w:t>We</w:t>
      </w:r>
      <w:r w:rsidR="00946C5B" w:rsidRPr="00F00EA5">
        <w:rPr>
          <w:rFonts w:asciiTheme="minorHAnsi" w:eastAsia="Times New Roman" w:hAnsiTheme="minorHAnsi"/>
          <w:lang w:val="en-US"/>
        </w:rPr>
        <w:t xml:space="preserve"> </w:t>
      </w:r>
      <w:r w:rsidR="000262D1" w:rsidRPr="00F00EA5">
        <w:rPr>
          <w:rFonts w:asciiTheme="minorHAnsi" w:eastAsia="Times New Roman" w:hAnsiTheme="minorHAnsi"/>
          <w:lang w:val="en-US"/>
        </w:rPr>
        <w:t>consider</w:t>
      </w:r>
      <w:bookmarkStart w:id="293" w:name="OLE_LINK54"/>
      <w:r w:rsidR="00C34ED3" w:rsidRPr="00F00EA5">
        <w:rPr>
          <w:rFonts w:asciiTheme="minorHAnsi" w:eastAsia="Times New Roman" w:hAnsiTheme="minorHAnsi"/>
          <w:lang w:val="en-US"/>
        </w:rPr>
        <w:t xml:space="preserve"> </w:t>
      </w:r>
      <w:r w:rsidR="00EF070B" w:rsidRPr="00F00EA5">
        <w:rPr>
          <w:rFonts w:asciiTheme="minorHAnsi" w:eastAsia="Times New Roman" w:hAnsiTheme="minorHAnsi"/>
          <w:lang w:val="en-US"/>
        </w:rPr>
        <w:t>a</w:t>
      </w:r>
      <w:r w:rsidR="00C34ED3" w:rsidRPr="00F00EA5">
        <w:rPr>
          <w:rFonts w:asciiTheme="minorHAnsi" w:eastAsia="Times New Roman" w:hAnsiTheme="minorHAnsi"/>
          <w:lang w:val="en-US"/>
        </w:rPr>
        <w:t xml:space="preserve"> </w:t>
      </w:r>
      <w:r w:rsidR="002C0D7B" w:rsidRPr="00F00EA5">
        <w:rPr>
          <w:rFonts w:asciiTheme="minorHAnsi" w:eastAsia="Times New Roman" w:hAnsiTheme="minorHAnsi"/>
          <w:lang w:val="en-US"/>
        </w:rPr>
        <w:t>homogeneous</w:t>
      </w:r>
      <w:r w:rsidR="00C34ED3" w:rsidRPr="00F00EA5">
        <w:rPr>
          <w:rFonts w:asciiTheme="minorHAnsi" w:eastAsia="Times New Roman" w:hAnsiTheme="minorHAnsi"/>
          <w:lang w:val="en-US"/>
        </w:rPr>
        <w:t xml:space="preserve"> </w:t>
      </w:r>
      <w:r w:rsidR="00946C5B" w:rsidRPr="00F00EA5">
        <w:rPr>
          <w:rFonts w:asciiTheme="minorHAnsi" w:eastAsia="Times New Roman" w:hAnsiTheme="minorHAnsi"/>
          <w:lang w:val="en-US"/>
        </w:rPr>
        <w:t xml:space="preserve">vehicle fleet </w:t>
      </w:r>
      <w:bookmarkEnd w:id="293"/>
      <w:r w:rsidR="00E616A9" w:rsidRPr="00F00EA5">
        <w:rPr>
          <w:rFonts w:asciiTheme="minorHAnsi" w:eastAsia="Times New Roman" w:hAnsiTheme="minorHAnsi"/>
          <w:lang w:val="en-US"/>
        </w:rPr>
        <w:t xml:space="preserve">and no bound </w:t>
      </w:r>
      <w:proofErr w:type="gramStart"/>
      <w:r w:rsidR="00412827" w:rsidRPr="00F00EA5">
        <w:rPr>
          <w:rFonts w:asciiTheme="minorHAnsi" w:eastAsia="Times New Roman" w:hAnsiTheme="minorHAnsi"/>
          <w:lang w:val="en-US"/>
        </w:rPr>
        <w:t>is</w:t>
      </w:r>
      <w:proofErr w:type="gramEnd"/>
      <w:r w:rsidR="00412827" w:rsidRPr="00F00EA5">
        <w:rPr>
          <w:rFonts w:asciiTheme="minorHAnsi" w:eastAsia="Times New Roman" w:hAnsiTheme="minorHAnsi"/>
          <w:lang w:val="en-US"/>
        </w:rPr>
        <w:t xml:space="preserve"> </w:t>
      </w:r>
      <w:r w:rsidR="00587E70" w:rsidRPr="00F00EA5">
        <w:rPr>
          <w:rFonts w:asciiTheme="minorHAnsi" w:eastAsia="Times New Roman" w:hAnsiTheme="minorHAnsi"/>
          <w:lang w:val="en-US"/>
        </w:rPr>
        <w:t>imposed</w:t>
      </w:r>
      <w:r w:rsidR="00E616A9" w:rsidRPr="00F00EA5">
        <w:rPr>
          <w:rFonts w:asciiTheme="minorHAnsi" w:eastAsia="Times New Roman" w:hAnsiTheme="minorHAnsi"/>
          <w:lang w:val="en-US"/>
        </w:rPr>
        <w:t xml:space="preserve"> on the </w:t>
      </w:r>
      <w:bookmarkStart w:id="294" w:name="OLE_LINK58"/>
      <w:bookmarkStart w:id="295" w:name="OLE_LINK59"/>
      <w:bookmarkStart w:id="296" w:name="OLE_LINK66"/>
      <w:bookmarkStart w:id="297" w:name="OLE_LINK67"/>
      <w:bookmarkEnd w:id="286"/>
      <w:bookmarkEnd w:id="287"/>
      <w:bookmarkEnd w:id="288"/>
      <w:r w:rsidR="00DC6D8D" w:rsidRPr="00F00EA5">
        <w:rPr>
          <w:rFonts w:asciiTheme="minorHAnsi" w:eastAsia="Times New Roman" w:hAnsiTheme="minorHAnsi"/>
          <w:lang w:val="en-US"/>
        </w:rPr>
        <w:t xml:space="preserve">number of </w:t>
      </w:r>
      <w:r w:rsidR="00571B91" w:rsidRPr="00F00EA5">
        <w:rPr>
          <w:rFonts w:asciiTheme="minorHAnsi" w:eastAsia="Times New Roman" w:hAnsiTheme="minorHAnsi"/>
          <w:lang w:val="en-US"/>
        </w:rPr>
        <w:t>vehicle</w:t>
      </w:r>
      <w:r w:rsidR="00DC6D8D" w:rsidRPr="00F00EA5">
        <w:rPr>
          <w:rFonts w:asciiTheme="minorHAnsi" w:eastAsia="Times New Roman" w:hAnsiTheme="minorHAnsi"/>
          <w:lang w:val="en-US"/>
        </w:rPr>
        <w:t>s</w:t>
      </w:r>
      <w:r w:rsidR="0094513A" w:rsidRPr="00F00EA5">
        <w:rPr>
          <w:rFonts w:asciiTheme="minorHAnsi" w:eastAsia="Times New Roman" w:hAnsiTheme="minorHAnsi"/>
          <w:lang w:val="en-US"/>
        </w:rPr>
        <w:t xml:space="preserve">. </w:t>
      </w:r>
      <w:r w:rsidR="0070361C" w:rsidRPr="00F00EA5">
        <w:rPr>
          <w:rFonts w:asciiTheme="minorHAnsi" w:eastAsia="Times New Roman" w:hAnsiTheme="minorHAnsi"/>
          <w:lang w:val="en-US"/>
        </w:rPr>
        <w:t xml:space="preserve">Finally, </w:t>
      </w:r>
      <w:r w:rsidR="00E616A9" w:rsidRPr="00F00EA5">
        <w:rPr>
          <w:rFonts w:asciiTheme="minorHAnsi" w:eastAsia="Times New Roman" w:hAnsiTheme="minorHAnsi"/>
          <w:lang w:val="en-US"/>
        </w:rPr>
        <w:t xml:space="preserve">different </w:t>
      </w:r>
      <w:r w:rsidR="00946C5B" w:rsidRPr="00F00EA5">
        <w:rPr>
          <w:rFonts w:asciiTheme="minorHAnsi" w:eastAsia="Times New Roman" w:hAnsiTheme="minorHAnsi"/>
          <w:lang w:val="en-US"/>
        </w:rPr>
        <w:t xml:space="preserve">distribution network </w:t>
      </w:r>
      <w:r w:rsidR="0070361C" w:rsidRPr="00F00EA5">
        <w:rPr>
          <w:rFonts w:asciiTheme="minorHAnsi" w:eastAsia="Times New Roman" w:hAnsiTheme="minorHAnsi"/>
          <w:lang w:val="en-US"/>
        </w:rPr>
        <w:t xml:space="preserve">classes are examined with respect to the </w:t>
      </w:r>
      <w:r w:rsidR="00E616A9" w:rsidRPr="00F00EA5">
        <w:rPr>
          <w:rFonts w:asciiTheme="minorHAnsi" w:eastAsia="Times New Roman" w:hAnsiTheme="minorHAnsi"/>
          <w:lang w:val="en-US"/>
        </w:rPr>
        <w:t>geographic</w:t>
      </w:r>
      <w:r w:rsidR="0070361C" w:rsidRPr="00F00EA5">
        <w:rPr>
          <w:rFonts w:asciiTheme="minorHAnsi" w:eastAsia="Times New Roman" w:hAnsiTheme="minorHAnsi"/>
          <w:lang w:val="en-US"/>
        </w:rPr>
        <w:t>al</w:t>
      </w:r>
      <w:r w:rsidR="00E616A9" w:rsidRPr="00F00EA5">
        <w:rPr>
          <w:rFonts w:asciiTheme="minorHAnsi" w:eastAsia="Times New Roman" w:hAnsiTheme="minorHAnsi"/>
          <w:lang w:val="en-US"/>
        </w:rPr>
        <w:t xml:space="preserve"> distribution </w:t>
      </w:r>
      <w:r w:rsidR="0070361C" w:rsidRPr="00F00EA5">
        <w:rPr>
          <w:rFonts w:asciiTheme="minorHAnsi" w:eastAsia="Times New Roman" w:hAnsiTheme="minorHAnsi"/>
          <w:lang w:val="en-US"/>
        </w:rPr>
        <w:t xml:space="preserve">of the nodes </w:t>
      </w:r>
      <w:r w:rsidR="00E616A9" w:rsidRPr="00F00EA5">
        <w:rPr>
          <w:rFonts w:asciiTheme="minorHAnsi" w:eastAsia="Times New Roman" w:hAnsiTheme="minorHAnsi"/>
          <w:lang w:val="en-US"/>
        </w:rPr>
        <w:t xml:space="preserve">and </w:t>
      </w:r>
      <w:r w:rsidR="0070361C" w:rsidRPr="00F00EA5">
        <w:rPr>
          <w:rFonts w:asciiTheme="minorHAnsi" w:eastAsia="Times New Roman" w:hAnsiTheme="minorHAnsi"/>
          <w:lang w:val="en-US"/>
        </w:rPr>
        <w:t>the</w:t>
      </w:r>
      <w:r w:rsidR="005303F7" w:rsidRPr="00F00EA5">
        <w:rPr>
          <w:rFonts w:asciiTheme="minorHAnsi" w:eastAsia="Times New Roman" w:hAnsiTheme="minorHAnsi"/>
          <w:lang w:val="en-US"/>
        </w:rPr>
        <w:t xml:space="preserve"> </w:t>
      </w:r>
      <w:r w:rsidR="00571B91" w:rsidRPr="00F00EA5">
        <w:rPr>
          <w:rFonts w:asciiTheme="minorHAnsi" w:eastAsia="Times New Roman" w:hAnsiTheme="minorHAnsi"/>
          <w:lang w:val="en-US"/>
        </w:rPr>
        <w:t>travel</w:t>
      </w:r>
      <w:r w:rsidR="005303F7" w:rsidRPr="00F00EA5">
        <w:rPr>
          <w:rFonts w:asciiTheme="minorHAnsi" w:eastAsia="Times New Roman" w:hAnsiTheme="minorHAnsi"/>
          <w:lang w:val="en-US"/>
        </w:rPr>
        <w:t xml:space="preserve"> distances</w:t>
      </w:r>
      <w:r w:rsidR="0070361C" w:rsidRPr="00F00EA5">
        <w:rPr>
          <w:rFonts w:asciiTheme="minorHAnsi" w:eastAsia="Times New Roman" w:hAnsiTheme="minorHAnsi"/>
          <w:lang w:val="en-US"/>
        </w:rPr>
        <w:t xml:space="preserve"> between pickup and delivery locations</w:t>
      </w:r>
      <w:r w:rsidR="00571B91" w:rsidRPr="00F00EA5">
        <w:rPr>
          <w:rFonts w:asciiTheme="minorHAnsi" w:eastAsia="Times New Roman" w:hAnsiTheme="minorHAnsi"/>
          <w:lang w:val="en-US"/>
        </w:rPr>
        <w:t xml:space="preserve">, as explained </w:t>
      </w:r>
      <w:r w:rsidR="00DC6D8D" w:rsidRPr="00F00EA5">
        <w:rPr>
          <w:rFonts w:asciiTheme="minorHAnsi" w:eastAsia="Times New Roman" w:hAnsiTheme="minorHAnsi"/>
          <w:lang w:val="en-US"/>
        </w:rPr>
        <w:t>below</w:t>
      </w:r>
      <w:r w:rsidR="00571B91" w:rsidRPr="00F00EA5">
        <w:rPr>
          <w:rFonts w:asciiTheme="minorHAnsi" w:eastAsia="Times New Roman" w:hAnsiTheme="minorHAnsi"/>
          <w:lang w:val="en-US"/>
        </w:rPr>
        <w:t>.</w:t>
      </w:r>
    </w:p>
    <w:p w:rsidR="00DC6D8D" w:rsidRDefault="00DC6D8D" w:rsidP="00B20A00">
      <w:pPr>
        <w:autoSpaceDE w:val="0"/>
        <w:autoSpaceDN w:val="0"/>
        <w:adjustRightInd w:val="0"/>
        <w:spacing w:after="0"/>
        <w:jc w:val="both"/>
      </w:pPr>
    </w:p>
    <w:bookmarkEnd w:id="289"/>
    <w:bookmarkEnd w:id="290"/>
    <w:p w:rsidR="00F00EA5" w:rsidRDefault="00E355AB" w:rsidP="00F00EA5">
      <w:pPr>
        <w:pStyle w:val="svarticle"/>
        <w:shd w:val="clear" w:color="auto" w:fill="FFFFFF"/>
        <w:spacing w:before="0" w:beforeAutospacing="0" w:after="0" w:afterAutospacing="0" w:line="276" w:lineRule="auto"/>
        <w:jc w:val="both"/>
        <w:textAlignment w:val="baseline"/>
        <w:rPr>
          <w:rFonts w:asciiTheme="minorHAnsi" w:hAnsiTheme="minorHAnsi"/>
          <w:i/>
          <w:sz w:val="22"/>
          <w:szCs w:val="22"/>
        </w:rPr>
      </w:pPr>
      <w:r w:rsidRPr="00F00EA5">
        <w:rPr>
          <w:rFonts w:asciiTheme="minorHAnsi" w:hAnsiTheme="minorHAnsi"/>
          <w:i/>
          <w:sz w:val="22"/>
          <w:szCs w:val="22"/>
        </w:rPr>
        <w:t>Geographic distribution</w:t>
      </w:r>
      <w:r w:rsidR="003E5A88" w:rsidRPr="00F00EA5">
        <w:rPr>
          <w:rFonts w:asciiTheme="minorHAnsi" w:hAnsiTheme="minorHAnsi"/>
          <w:i/>
          <w:sz w:val="22"/>
          <w:szCs w:val="22"/>
        </w:rPr>
        <w:t xml:space="preserve"> of nodes</w:t>
      </w:r>
      <w:bookmarkStart w:id="298" w:name="OLE_LINK26"/>
      <w:bookmarkStart w:id="299" w:name="OLE_LINK27"/>
      <w:bookmarkStart w:id="300" w:name="OLE_LINK28"/>
    </w:p>
    <w:p w:rsidR="008D6C4A" w:rsidRPr="00F00EA5" w:rsidRDefault="00F81759" w:rsidP="00F00EA5">
      <w:pPr>
        <w:pStyle w:val="svarticle"/>
        <w:shd w:val="clear" w:color="auto" w:fill="FFFFFF"/>
        <w:spacing w:before="0" w:beforeAutospacing="0" w:after="0" w:afterAutospacing="0" w:line="276" w:lineRule="auto"/>
        <w:jc w:val="both"/>
        <w:textAlignment w:val="baseline"/>
        <w:rPr>
          <w:rFonts w:asciiTheme="minorHAnsi" w:hAnsiTheme="minorHAnsi"/>
          <w:i/>
          <w:sz w:val="22"/>
          <w:szCs w:val="22"/>
        </w:rPr>
      </w:pPr>
      <w:r w:rsidRPr="00F81759">
        <w:rPr>
          <w:rFonts w:asciiTheme="minorHAnsi" w:hAnsiTheme="minorHAnsi"/>
          <w:b/>
          <w:i/>
          <w:sz w:val="22"/>
          <w:szCs w:val="22"/>
        </w:rPr>
        <w:t xml:space="preserve"> </w:t>
      </w:r>
      <w:r w:rsidR="00B510B8">
        <w:rPr>
          <w:rFonts w:asciiTheme="minorHAnsi" w:hAnsiTheme="minorHAnsi"/>
          <w:sz w:val="22"/>
          <w:szCs w:val="22"/>
        </w:rPr>
        <w:t>W</w:t>
      </w:r>
      <w:r w:rsidR="00D50975" w:rsidRPr="00A635FA">
        <w:rPr>
          <w:rFonts w:asciiTheme="minorHAnsi" w:hAnsiTheme="minorHAnsi"/>
          <w:sz w:val="22"/>
          <w:szCs w:val="22"/>
        </w:rPr>
        <w:t xml:space="preserve">e distinguish </w:t>
      </w:r>
      <w:bookmarkStart w:id="301" w:name="OLE_LINK679"/>
      <w:bookmarkStart w:id="302" w:name="OLE_LINK680"/>
      <w:bookmarkStart w:id="303" w:name="OLE_LINK681"/>
      <w:r w:rsidR="00D50975" w:rsidRPr="00A635FA">
        <w:rPr>
          <w:rFonts w:asciiTheme="minorHAnsi" w:hAnsiTheme="minorHAnsi"/>
          <w:sz w:val="22"/>
          <w:szCs w:val="22"/>
        </w:rPr>
        <w:t xml:space="preserve">among </w:t>
      </w:r>
      <w:r w:rsidR="00343891" w:rsidRPr="00A635FA">
        <w:rPr>
          <w:rFonts w:asciiTheme="minorHAnsi" w:hAnsiTheme="minorHAnsi"/>
          <w:sz w:val="22"/>
          <w:szCs w:val="22"/>
        </w:rPr>
        <w:t xml:space="preserve">three </w:t>
      </w:r>
      <w:r w:rsidR="00B510B8">
        <w:rPr>
          <w:rFonts w:asciiTheme="minorHAnsi" w:eastAsiaTheme="minorHAnsi" w:hAnsiTheme="minorHAnsi" w:cstheme="minorBidi"/>
          <w:sz w:val="22"/>
          <w:szCs w:val="22"/>
        </w:rPr>
        <w:t>geographic distribution</w:t>
      </w:r>
      <w:bookmarkEnd w:id="298"/>
      <w:bookmarkEnd w:id="299"/>
      <w:bookmarkEnd w:id="300"/>
      <w:r w:rsidR="00C34ED3">
        <w:rPr>
          <w:rFonts w:asciiTheme="minorHAnsi" w:eastAsiaTheme="minorHAnsi" w:hAnsiTheme="minorHAnsi" w:cstheme="minorBidi"/>
          <w:sz w:val="22"/>
          <w:szCs w:val="22"/>
        </w:rPr>
        <w:t xml:space="preserve"> </w:t>
      </w:r>
      <w:r w:rsidR="00B510B8">
        <w:rPr>
          <w:rFonts w:asciiTheme="minorHAnsi" w:hAnsiTheme="minorHAnsi"/>
          <w:sz w:val="22"/>
          <w:szCs w:val="22"/>
        </w:rPr>
        <w:t>classes</w:t>
      </w:r>
      <w:r w:rsidR="00497FA5">
        <w:rPr>
          <w:rFonts w:asciiTheme="minorHAnsi" w:hAnsiTheme="minorHAnsi"/>
          <w:sz w:val="22"/>
          <w:szCs w:val="22"/>
        </w:rPr>
        <w:t xml:space="preserve">: </w:t>
      </w:r>
      <w:proofErr w:type="spellStart"/>
      <w:r w:rsidR="00311062">
        <w:rPr>
          <w:rFonts w:asciiTheme="minorHAnsi" w:hAnsiTheme="minorHAnsi"/>
          <w:sz w:val="22"/>
          <w:szCs w:val="22"/>
        </w:rPr>
        <w:t>i</w:t>
      </w:r>
      <w:proofErr w:type="spellEnd"/>
      <w:r w:rsidR="00311062">
        <w:rPr>
          <w:rFonts w:asciiTheme="minorHAnsi" w:hAnsiTheme="minorHAnsi"/>
          <w:sz w:val="22"/>
          <w:szCs w:val="22"/>
        </w:rPr>
        <w:t xml:space="preserve">) </w:t>
      </w:r>
      <w:r w:rsidR="00DE6CB5">
        <w:rPr>
          <w:rFonts w:asciiTheme="minorHAnsi" w:hAnsiTheme="minorHAnsi"/>
          <w:sz w:val="22"/>
          <w:szCs w:val="22"/>
        </w:rPr>
        <w:t>r</w:t>
      </w:r>
      <w:r w:rsidR="00571B91">
        <w:rPr>
          <w:rFonts w:asciiTheme="minorHAnsi" w:hAnsiTheme="minorHAnsi"/>
          <w:sz w:val="22"/>
          <w:szCs w:val="22"/>
        </w:rPr>
        <w:t xml:space="preserve">andom </w:t>
      </w:r>
      <w:r w:rsidR="00343891" w:rsidRPr="00A635FA">
        <w:rPr>
          <w:rFonts w:asciiTheme="minorHAnsi" w:hAnsiTheme="minorHAnsi"/>
          <w:sz w:val="22"/>
          <w:szCs w:val="22"/>
        </w:rPr>
        <w:t>(</w:t>
      </w:r>
      <w:r w:rsidR="00343891" w:rsidRPr="00DE6CB5">
        <w:rPr>
          <w:rFonts w:asciiTheme="minorHAnsi" w:hAnsiTheme="minorHAnsi"/>
          <w:i/>
          <w:sz w:val="22"/>
          <w:szCs w:val="22"/>
        </w:rPr>
        <w:t>R</w:t>
      </w:r>
      <w:r w:rsidR="00343891" w:rsidRPr="00A635FA">
        <w:rPr>
          <w:rFonts w:asciiTheme="minorHAnsi" w:hAnsiTheme="minorHAnsi"/>
          <w:sz w:val="22"/>
          <w:szCs w:val="22"/>
        </w:rPr>
        <w:t xml:space="preserve">), </w:t>
      </w:r>
      <w:bookmarkStart w:id="304" w:name="OLE_LINK15"/>
      <w:r w:rsidR="00343891" w:rsidRPr="00A635FA">
        <w:rPr>
          <w:rFonts w:asciiTheme="minorHAnsi" w:hAnsiTheme="minorHAnsi"/>
          <w:sz w:val="22"/>
          <w:szCs w:val="22"/>
        </w:rPr>
        <w:t xml:space="preserve">ii) </w:t>
      </w:r>
      <w:bookmarkStart w:id="305" w:name="OLE_LINK19"/>
      <w:bookmarkStart w:id="306" w:name="OLE_LINK20"/>
      <w:bookmarkEnd w:id="304"/>
      <w:r w:rsidR="00DE6CB5">
        <w:rPr>
          <w:rFonts w:asciiTheme="minorHAnsi" w:hAnsiTheme="minorHAnsi"/>
          <w:sz w:val="22"/>
          <w:szCs w:val="22"/>
        </w:rPr>
        <w:t>c</w:t>
      </w:r>
      <w:r w:rsidR="00CA2C28" w:rsidRPr="00A635FA">
        <w:rPr>
          <w:rFonts w:asciiTheme="minorHAnsi" w:hAnsiTheme="minorHAnsi"/>
          <w:sz w:val="22"/>
          <w:szCs w:val="22"/>
        </w:rPr>
        <w:t xml:space="preserve">lustered </w:t>
      </w:r>
      <w:bookmarkEnd w:id="305"/>
      <w:bookmarkEnd w:id="306"/>
      <w:r w:rsidR="005303F7" w:rsidRPr="00A635FA">
        <w:rPr>
          <w:rFonts w:asciiTheme="minorHAnsi" w:hAnsiTheme="minorHAnsi"/>
          <w:sz w:val="22"/>
          <w:szCs w:val="22"/>
        </w:rPr>
        <w:t>(</w:t>
      </w:r>
      <w:r w:rsidR="00EA0B83" w:rsidRPr="00DE6CB5">
        <w:rPr>
          <w:rFonts w:asciiTheme="minorHAnsi" w:hAnsiTheme="minorHAnsi"/>
          <w:i/>
          <w:sz w:val="22"/>
          <w:szCs w:val="22"/>
        </w:rPr>
        <w:t>C</w:t>
      </w:r>
      <w:r w:rsidR="005303F7" w:rsidRPr="00A635FA">
        <w:rPr>
          <w:rFonts w:asciiTheme="minorHAnsi" w:hAnsiTheme="minorHAnsi"/>
          <w:sz w:val="22"/>
          <w:szCs w:val="22"/>
        </w:rPr>
        <w:t>)</w:t>
      </w:r>
      <w:r w:rsidR="00CA2C28">
        <w:rPr>
          <w:rFonts w:asciiTheme="minorHAnsi" w:hAnsiTheme="minorHAnsi"/>
          <w:sz w:val="22"/>
          <w:szCs w:val="22"/>
        </w:rPr>
        <w:t>,</w:t>
      </w:r>
      <w:r w:rsidR="005303F7">
        <w:rPr>
          <w:rFonts w:asciiTheme="minorHAnsi" w:hAnsiTheme="minorHAnsi"/>
          <w:sz w:val="22"/>
          <w:szCs w:val="22"/>
        </w:rPr>
        <w:t xml:space="preserve"> and</w:t>
      </w:r>
      <w:r w:rsidR="00343891" w:rsidRPr="00A635FA">
        <w:rPr>
          <w:rFonts w:asciiTheme="minorHAnsi" w:hAnsiTheme="minorHAnsi"/>
          <w:sz w:val="22"/>
          <w:szCs w:val="22"/>
        </w:rPr>
        <w:t xml:space="preserve"> iii) </w:t>
      </w:r>
      <w:bookmarkStart w:id="307" w:name="OLE_LINK14"/>
      <w:r w:rsidR="00311062">
        <w:rPr>
          <w:rFonts w:asciiTheme="minorHAnsi" w:hAnsiTheme="minorHAnsi"/>
          <w:sz w:val="22"/>
          <w:szCs w:val="22"/>
        </w:rPr>
        <w:t>semi-c</w:t>
      </w:r>
      <w:r w:rsidR="00343891" w:rsidRPr="00A635FA">
        <w:rPr>
          <w:rFonts w:asciiTheme="minorHAnsi" w:hAnsiTheme="minorHAnsi"/>
          <w:sz w:val="22"/>
          <w:szCs w:val="22"/>
        </w:rPr>
        <w:t xml:space="preserve">lustered </w:t>
      </w:r>
      <w:bookmarkEnd w:id="301"/>
      <w:bookmarkEnd w:id="302"/>
      <w:bookmarkEnd w:id="303"/>
      <w:bookmarkEnd w:id="307"/>
      <w:r w:rsidR="00343891" w:rsidRPr="00A635FA">
        <w:rPr>
          <w:rFonts w:asciiTheme="minorHAnsi" w:hAnsiTheme="minorHAnsi"/>
          <w:sz w:val="22"/>
          <w:szCs w:val="22"/>
        </w:rPr>
        <w:t>(</w:t>
      </w:r>
      <w:r w:rsidR="00311062" w:rsidRPr="00DE6CB5">
        <w:rPr>
          <w:rFonts w:asciiTheme="minorHAnsi" w:hAnsiTheme="minorHAnsi"/>
          <w:i/>
          <w:sz w:val="22"/>
          <w:szCs w:val="22"/>
        </w:rPr>
        <w:t>R</w:t>
      </w:r>
      <w:r w:rsidR="00343891" w:rsidRPr="00DE6CB5">
        <w:rPr>
          <w:rFonts w:asciiTheme="minorHAnsi" w:hAnsiTheme="minorHAnsi"/>
          <w:i/>
          <w:sz w:val="22"/>
          <w:szCs w:val="22"/>
        </w:rPr>
        <w:t>C</w:t>
      </w:r>
      <w:r w:rsidR="00343891" w:rsidRPr="00A635FA">
        <w:rPr>
          <w:rFonts w:asciiTheme="minorHAnsi" w:hAnsiTheme="minorHAnsi"/>
          <w:sz w:val="22"/>
          <w:szCs w:val="22"/>
        </w:rPr>
        <w:t xml:space="preserve">). </w:t>
      </w:r>
      <w:r w:rsidR="00DC6D8D">
        <w:rPr>
          <w:rFonts w:asciiTheme="minorHAnsi" w:hAnsiTheme="minorHAnsi"/>
          <w:sz w:val="22"/>
          <w:szCs w:val="22"/>
        </w:rPr>
        <w:t>Regarding the</w:t>
      </w:r>
      <w:r w:rsidR="00343891" w:rsidRPr="00A635FA">
        <w:rPr>
          <w:rFonts w:asciiTheme="minorHAnsi" w:hAnsiTheme="minorHAnsi"/>
          <w:sz w:val="22"/>
          <w:szCs w:val="22"/>
        </w:rPr>
        <w:t xml:space="preserve"> </w:t>
      </w:r>
      <w:r w:rsidR="00DC6D8D">
        <w:rPr>
          <w:rFonts w:asciiTheme="minorHAnsi" w:hAnsiTheme="minorHAnsi"/>
          <w:sz w:val="22"/>
          <w:szCs w:val="22"/>
        </w:rPr>
        <w:t>R class</w:t>
      </w:r>
      <w:r w:rsidR="00343891" w:rsidRPr="00A635FA">
        <w:rPr>
          <w:rFonts w:asciiTheme="minorHAnsi" w:hAnsiTheme="minorHAnsi"/>
          <w:sz w:val="22"/>
          <w:szCs w:val="22"/>
        </w:rPr>
        <w:t xml:space="preserve">, all nodes </w:t>
      </w:r>
      <w:r w:rsidR="0031284C" w:rsidRPr="00A635FA">
        <w:rPr>
          <w:rFonts w:asciiTheme="minorHAnsi" w:hAnsiTheme="minorHAnsi"/>
          <w:sz w:val="22"/>
          <w:szCs w:val="22"/>
        </w:rPr>
        <w:t>are</w:t>
      </w:r>
      <w:r w:rsidR="00343891" w:rsidRPr="00A635FA">
        <w:rPr>
          <w:rFonts w:asciiTheme="minorHAnsi" w:hAnsiTheme="minorHAnsi"/>
          <w:sz w:val="22"/>
          <w:szCs w:val="22"/>
        </w:rPr>
        <w:t xml:space="preserve"> </w:t>
      </w:r>
      <w:bookmarkStart w:id="308" w:name="OLE_LINK468"/>
      <w:r w:rsidR="00343891" w:rsidRPr="00A635FA">
        <w:rPr>
          <w:rFonts w:asciiTheme="minorHAnsi" w:hAnsiTheme="minorHAnsi"/>
          <w:sz w:val="22"/>
          <w:szCs w:val="22"/>
        </w:rPr>
        <w:t>uniformly distributed in</w:t>
      </w:r>
      <w:bookmarkStart w:id="309" w:name="OLE_LINK149"/>
      <w:bookmarkStart w:id="310" w:name="OLE_LINK150"/>
      <w:r w:rsidR="00C34ED3">
        <w:rPr>
          <w:rFonts w:asciiTheme="minorHAnsi" w:hAnsiTheme="minorHAnsi"/>
          <w:sz w:val="22"/>
          <w:szCs w:val="22"/>
        </w:rPr>
        <w:t xml:space="preserve"> </w:t>
      </w:r>
      <w:r w:rsidR="00295543">
        <w:rPr>
          <w:rFonts w:asciiTheme="minorHAnsi" w:hAnsiTheme="minorHAnsi"/>
          <w:sz w:val="22"/>
          <w:szCs w:val="22"/>
        </w:rPr>
        <w:t>the</w:t>
      </w:r>
      <w:r w:rsidR="00311062">
        <w:rPr>
          <w:rFonts w:asciiTheme="minorHAnsi" w:hAnsiTheme="minorHAnsi"/>
          <w:sz w:val="22"/>
          <w:szCs w:val="22"/>
        </w:rPr>
        <w:t xml:space="preserve"> </w:t>
      </w:r>
      <w:bookmarkStart w:id="311" w:name="OLE_LINK474"/>
      <w:bookmarkStart w:id="312" w:name="OLE_LINK475"/>
      <w:bookmarkStart w:id="313" w:name="OLE_LINK476"/>
      <w:r w:rsidR="00B766C0" w:rsidRPr="00A635FA">
        <w:rPr>
          <w:rFonts w:asciiTheme="minorHAnsi" w:hAnsiTheme="minorHAnsi"/>
          <w:sz w:val="22"/>
          <w:szCs w:val="22"/>
        </w:rPr>
        <w:t>[0,100]</w:t>
      </w:r>
      <w:r w:rsidR="00A16DB1" w:rsidRPr="00A635FA">
        <w:rPr>
          <w:rFonts w:asciiTheme="minorHAnsi" w:hAnsiTheme="minorHAnsi"/>
          <w:sz w:val="22"/>
          <w:szCs w:val="22"/>
          <w:vertAlign w:val="superscript"/>
        </w:rPr>
        <w:t>2</w:t>
      </w:r>
      <w:r w:rsidR="00497FA5">
        <w:rPr>
          <w:rFonts w:asciiTheme="minorHAnsi" w:hAnsiTheme="minorHAnsi"/>
          <w:sz w:val="22"/>
          <w:szCs w:val="22"/>
          <w:vertAlign w:val="superscript"/>
        </w:rPr>
        <w:t xml:space="preserve"> </w:t>
      </w:r>
      <w:r w:rsidR="00311062">
        <w:rPr>
          <w:rFonts w:asciiTheme="minorHAnsi" w:hAnsiTheme="minorHAnsi"/>
          <w:sz w:val="22"/>
          <w:szCs w:val="22"/>
        </w:rPr>
        <w:t>grid</w:t>
      </w:r>
      <w:bookmarkEnd w:id="308"/>
      <w:bookmarkEnd w:id="311"/>
      <w:bookmarkEnd w:id="312"/>
      <w:bookmarkEnd w:id="313"/>
      <w:r w:rsidR="00A16DB1" w:rsidRPr="00A635FA">
        <w:rPr>
          <w:rFonts w:asciiTheme="minorHAnsi" w:hAnsiTheme="minorHAnsi"/>
          <w:sz w:val="22"/>
          <w:szCs w:val="22"/>
        </w:rPr>
        <w:t xml:space="preserve">. </w:t>
      </w:r>
      <w:r w:rsidR="004B3A96">
        <w:rPr>
          <w:rFonts w:asciiTheme="minorHAnsi" w:hAnsiTheme="minorHAnsi"/>
          <w:sz w:val="22"/>
          <w:szCs w:val="22"/>
        </w:rPr>
        <w:t>In</w:t>
      </w:r>
      <w:r w:rsidR="00C34ED3">
        <w:rPr>
          <w:rFonts w:asciiTheme="minorHAnsi" w:hAnsiTheme="minorHAnsi"/>
          <w:sz w:val="22"/>
          <w:szCs w:val="22"/>
        </w:rPr>
        <w:t xml:space="preserve"> </w:t>
      </w:r>
      <w:r w:rsidR="00DC6D8D">
        <w:rPr>
          <w:rFonts w:asciiTheme="minorHAnsi" w:hAnsiTheme="minorHAnsi"/>
          <w:sz w:val="22"/>
          <w:szCs w:val="22"/>
        </w:rPr>
        <w:t>C class</w:t>
      </w:r>
      <w:r w:rsidR="00343891" w:rsidRPr="00A635FA">
        <w:rPr>
          <w:rFonts w:asciiTheme="minorHAnsi" w:hAnsiTheme="minorHAnsi"/>
          <w:sz w:val="22"/>
          <w:szCs w:val="22"/>
        </w:rPr>
        <w:t xml:space="preserve">, </w:t>
      </w:r>
      <w:r w:rsidR="00311062">
        <w:rPr>
          <w:rFonts w:asciiTheme="minorHAnsi" w:hAnsiTheme="minorHAnsi"/>
          <w:sz w:val="22"/>
          <w:szCs w:val="22"/>
        </w:rPr>
        <w:t>node</w:t>
      </w:r>
      <w:r w:rsidR="004B3A96">
        <w:rPr>
          <w:rFonts w:asciiTheme="minorHAnsi" w:hAnsiTheme="minorHAnsi"/>
          <w:sz w:val="22"/>
          <w:szCs w:val="22"/>
        </w:rPr>
        <w:t>s</w:t>
      </w:r>
      <w:r w:rsidR="00C34ED3">
        <w:rPr>
          <w:rFonts w:asciiTheme="minorHAnsi" w:hAnsiTheme="minorHAnsi"/>
          <w:sz w:val="22"/>
          <w:szCs w:val="22"/>
        </w:rPr>
        <w:t xml:space="preserve"> </w:t>
      </w:r>
      <w:r w:rsidR="004B3A96">
        <w:rPr>
          <w:rFonts w:asciiTheme="minorHAnsi" w:hAnsiTheme="minorHAnsi"/>
          <w:sz w:val="22"/>
          <w:szCs w:val="22"/>
        </w:rPr>
        <w:t xml:space="preserve">are distributed in four node </w:t>
      </w:r>
      <w:r w:rsidR="00311062">
        <w:rPr>
          <w:rFonts w:asciiTheme="minorHAnsi" w:hAnsiTheme="minorHAnsi"/>
          <w:sz w:val="22"/>
          <w:szCs w:val="22"/>
        </w:rPr>
        <w:t xml:space="preserve">clusters </w:t>
      </w:r>
      <w:r w:rsidR="00343891" w:rsidRPr="00A635FA">
        <w:rPr>
          <w:rFonts w:asciiTheme="minorHAnsi" w:hAnsiTheme="minorHAnsi"/>
          <w:sz w:val="22"/>
          <w:szCs w:val="22"/>
        </w:rPr>
        <w:t>of predefined dimensio</w:t>
      </w:r>
      <w:r w:rsidR="00343891" w:rsidRPr="0019619C">
        <w:rPr>
          <w:rFonts w:asciiTheme="minorHAnsi" w:hAnsiTheme="minorHAnsi"/>
          <w:sz w:val="22"/>
          <w:szCs w:val="22"/>
        </w:rPr>
        <w:t>ns</w:t>
      </w:r>
      <w:r w:rsidR="00C34ED3">
        <w:rPr>
          <w:rFonts w:asciiTheme="minorHAnsi" w:hAnsiTheme="minorHAnsi"/>
          <w:sz w:val="22"/>
          <w:szCs w:val="22"/>
        </w:rPr>
        <w:t xml:space="preserve"> </w:t>
      </w:r>
      <w:r w:rsidR="008E35E2" w:rsidRPr="0019619C">
        <w:rPr>
          <w:rFonts w:asciiTheme="minorHAnsi" w:hAnsiTheme="minorHAnsi"/>
          <w:sz w:val="22"/>
          <w:szCs w:val="22"/>
        </w:rPr>
        <w:t>located</w:t>
      </w:r>
      <w:r w:rsidR="00C34ED3">
        <w:rPr>
          <w:rFonts w:asciiTheme="minorHAnsi" w:hAnsiTheme="minorHAnsi"/>
          <w:sz w:val="22"/>
          <w:szCs w:val="22"/>
        </w:rPr>
        <w:t xml:space="preserve"> </w:t>
      </w:r>
      <w:r w:rsidR="00311062" w:rsidRPr="0019619C">
        <w:rPr>
          <w:rFonts w:asciiTheme="minorHAnsi" w:hAnsiTheme="minorHAnsi"/>
          <w:sz w:val="22"/>
          <w:szCs w:val="22"/>
        </w:rPr>
        <w:t>near</w:t>
      </w:r>
      <w:r w:rsidR="00343891" w:rsidRPr="0019619C">
        <w:rPr>
          <w:rFonts w:asciiTheme="minorHAnsi" w:hAnsiTheme="minorHAnsi"/>
          <w:sz w:val="22"/>
          <w:szCs w:val="22"/>
        </w:rPr>
        <w:t xml:space="preserve"> the corners</w:t>
      </w:r>
      <w:r w:rsidR="009B392D" w:rsidRPr="0019619C">
        <w:rPr>
          <w:rFonts w:asciiTheme="minorHAnsi" w:hAnsiTheme="minorHAnsi"/>
          <w:sz w:val="22"/>
          <w:szCs w:val="22"/>
        </w:rPr>
        <w:t xml:space="preserve"> of the </w:t>
      </w:r>
      <w:r w:rsidR="0019619C" w:rsidRPr="0019619C">
        <w:rPr>
          <w:rFonts w:asciiTheme="minorHAnsi" w:hAnsiTheme="minorHAnsi"/>
          <w:sz w:val="22"/>
          <w:szCs w:val="22"/>
        </w:rPr>
        <w:t>grid</w:t>
      </w:r>
      <w:r w:rsidR="009B392D" w:rsidRPr="00A635FA">
        <w:rPr>
          <w:rFonts w:asciiTheme="minorHAnsi" w:hAnsiTheme="minorHAnsi"/>
          <w:sz w:val="22"/>
          <w:szCs w:val="22"/>
        </w:rPr>
        <w:t>.</w:t>
      </w:r>
      <w:bookmarkEnd w:id="309"/>
      <w:bookmarkEnd w:id="310"/>
      <w:r w:rsidR="00C34ED3">
        <w:rPr>
          <w:rFonts w:asciiTheme="minorHAnsi" w:hAnsiTheme="minorHAnsi"/>
          <w:sz w:val="22"/>
          <w:szCs w:val="22"/>
        </w:rPr>
        <w:t xml:space="preserve"> </w:t>
      </w:r>
      <w:r w:rsidR="00295543">
        <w:rPr>
          <w:rFonts w:asciiTheme="minorHAnsi" w:hAnsiTheme="minorHAnsi"/>
          <w:sz w:val="22"/>
          <w:szCs w:val="22"/>
        </w:rPr>
        <w:t>For</w:t>
      </w:r>
      <w:r w:rsidR="00343891" w:rsidRPr="00A635FA">
        <w:rPr>
          <w:rFonts w:asciiTheme="minorHAnsi" w:hAnsiTheme="minorHAnsi"/>
          <w:sz w:val="22"/>
          <w:szCs w:val="22"/>
        </w:rPr>
        <w:t xml:space="preserve"> the </w:t>
      </w:r>
      <w:r w:rsidR="00DC6D8D">
        <w:rPr>
          <w:rFonts w:asciiTheme="minorHAnsi" w:hAnsiTheme="minorHAnsi"/>
          <w:sz w:val="22"/>
          <w:szCs w:val="22"/>
        </w:rPr>
        <w:t>RC class</w:t>
      </w:r>
      <w:r w:rsidR="00295543">
        <w:rPr>
          <w:rFonts w:asciiTheme="minorHAnsi" w:hAnsiTheme="minorHAnsi"/>
          <w:sz w:val="22"/>
          <w:szCs w:val="22"/>
        </w:rPr>
        <w:t>, approximately half of the</w:t>
      </w:r>
      <w:r w:rsidR="00742847">
        <w:rPr>
          <w:rFonts w:asciiTheme="minorHAnsi" w:hAnsiTheme="minorHAnsi"/>
          <w:sz w:val="22"/>
          <w:szCs w:val="22"/>
        </w:rPr>
        <w:t xml:space="preserve"> nodes </w:t>
      </w:r>
      <w:r w:rsidR="00311062">
        <w:rPr>
          <w:rFonts w:asciiTheme="minorHAnsi" w:hAnsiTheme="minorHAnsi"/>
          <w:sz w:val="22"/>
          <w:szCs w:val="22"/>
        </w:rPr>
        <w:t xml:space="preserve">are </w:t>
      </w:r>
      <w:r w:rsidR="0019619C">
        <w:rPr>
          <w:rFonts w:asciiTheme="minorHAnsi" w:hAnsiTheme="minorHAnsi"/>
          <w:sz w:val="22"/>
          <w:szCs w:val="22"/>
        </w:rPr>
        <w:t xml:space="preserve">distributed within the </w:t>
      </w:r>
      <w:r w:rsidR="00295543">
        <w:rPr>
          <w:rFonts w:asciiTheme="minorHAnsi" w:hAnsiTheme="minorHAnsi"/>
          <w:sz w:val="22"/>
          <w:szCs w:val="22"/>
        </w:rPr>
        <w:t xml:space="preserve">aforementioned four </w:t>
      </w:r>
      <w:r w:rsidR="00742847">
        <w:rPr>
          <w:rFonts w:asciiTheme="minorHAnsi" w:hAnsiTheme="minorHAnsi"/>
          <w:sz w:val="22"/>
          <w:szCs w:val="22"/>
        </w:rPr>
        <w:t xml:space="preserve">node </w:t>
      </w:r>
      <w:r w:rsidR="009B392D" w:rsidRPr="00A635FA">
        <w:rPr>
          <w:rFonts w:asciiTheme="minorHAnsi" w:hAnsiTheme="minorHAnsi"/>
          <w:sz w:val="22"/>
          <w:szCs w:val="22"/>
        </w:rPr>
        <w:t>clusters</w:t>
      </w:r>
      <w:r w:rsidR="0019619C">
        <w:rPr>
          <w:rFonts w:asciiTheme="minorHAnsi" w:hAnsiTheme="minorHAnsi"/>
          <w:sz w:val="22"/>
          <w:szCs w:val="22"/>
        </w:rPr>
        <w:t>,</w:t>
      </w:r>
      <w:r w:rsidR="00C34ED3">
        <w:rPr>
          <w:rFonts w:asciiTheme="minorHAnsi" w:hAnsiTheme="minorHAnsi"/>
          <w:sz w:val="22"/>
          <w:szCs w:val="22"/>
        </w:rPr>
        <w:t xml:space="preserve"> </w:t>
      </w:r>
      <w:r w:rsidR="00742847">
        <w:rPr>
          <w:rFonts w:asciiTheme="minorHAnsi" w:hAnsiTheme="minorHAnsi"/>
          <w:sz w:val="22"/>
          <w:szCs w:val="22"/>
        </w:rPr>
        <w:t xml:space="preserve">while </w:t>
      </w:r>
      <w:r w:rsidR="00295543">
        <w:rPr>
          <w:rFonts w:asciiTheme="minorHAnsi" w:hAnsiTheme="minorHAnsi"/>
          <w:sz w:val="22"/>
          <w:szCs w:val="22"/>
        </w:rPr>
        <w:t>the rest of them</w:t>
      </w:r>
      <w:r w:rsidR="00C34ED3">
        <w:rPr>
          <w:rFonts w:asciiTheme="minorHAnsi" w:hAnsiTheme="minorHAnsi"/>
          <w:sz w:val="22"/>
          <w:szCs w:val="22"/>
        </w:rPr>
        <w:t xml:space="preserve"> </w:t>
      </w:r>
      <w:r w:rsidR="0031284C" w:rsidRPr="00A635FA">
        <w:rPr>
          <w:rFonts w:asciiTheme="minorHAnsi" w:hAnsiTheme="minorHAnsi"/>
          <w:sz w:val="22"/>
          <w:szCs w:val="22"/>
        </w:rPr>
        <w:t>are</w:t>
      </w:r>
      <w:r w:rsidR="00C34ED3">
        <w:rPr>
          <w:rFonts w:asciiTheme="minorHAnsi" w:hAnsiTheme="minorHAnsi"/>
          <w:sz w:val="22"/>
          <w:szCs w:val="22"/>
        </w:rPr>
        <w:t xml:space="preserve"> </w:t>
      </w:r>
      <w:r w:rsidR="00311062">
        <w:rPr>
          <w:rFonts w:asciiTheme="minorHAnsi" w:hAnsiTheme="minorHAnsi"/>
          <w:sz w:val="22"/>
          <w:szCs w:val="22"/>
        </w:rPr>
        <w:t xml:space="preserve">randomly </w:t>
      </w:r>
      <w:r w:rsidR="009B392D" w:rsidRPr="00A635FA">
        <w:rPr>
          <w:rFonts w:asciiTheme="minorHAnsi" w:hAnsiTheme="minorHAnsi"/>
          <w:sz w:val="22"/>
          <w:szCs w:val="22"/>
        </w:rPr>
        <w:t>distributed in the</w:t>
      </w:r>
      <w:bookmarkStart w:id="314" w:name="OLE_LINK146"/>
      <w:r w:rsidR="00295543">
        <w:rPr>
          <w:rFonts w:asciiTheme="minorHAnsi" w:hAnsiTheme="minorHAnsi"/>
          <w:sz w:val="22"/>
          <w:szCs w:val="22"/>
        </w:rPr>
        <w:t xml:space="preserve"> </w:t>
      </w:r>
      <w:r w:rsidR="005D5D1E">
        <w:rPr>
          <w:rFonts w:asciiTheme="minorHAnsi" w:hAnsiTheme="minorHAnsi"/>
          <w:sz w:val="22"/>
          <w:szCs w:val="22"/>
        </w:rPr>
        <w:t>area between the clusters</w:t>
      </w:r>
      <w:r w:rsidR="00440FA3">
        <w:rPr>
          <w:rFonts w:asciiTheme="minorHAnsi" w:hAnsiTheme="minorHAnsi"/>
          <w:sz w:val="22"/>
          <w:szCs w:val="22"/>
        </w:rPr>
        <w:t>.</w:t>
      </w:r>
    </w:p>
    <w:p w:rsidR="0052673B" w:rsidRDefault="00F703F9" w:rsidP="00F00EA5">
      <w:pPr>
        <w:spacing w:after="0"/>
        <w:ind w:firstLine="720"/>
        <w:jc w:val="both"/>
      </w:pPr>
      <w:r>
        <w:t xml:space="preserve">To </w:t>
      </w:r>
      <w:r w:rsidR="00D905EA">
        <w:t>quantify</w:t>
      </w:r>
      <w:r w:rsidR="00F07187">
        <w:t xml:space="preserve"> the </w:t>
      </w:r>
      <w:r w:rsidR="00C90960">
        <w:t>distribution of node locations</w:t>
      </w:r>
      <w:r w:rsidR="00F07187">
        <w:t xml:space="preserve"> </w:t>
      </w:r>
      <w:r w:rsidR="00C90960">
        <w:t>for</w:t>
      </w:r>
      <w:r w:rsidR="00F07187">
        <w:t xml:space="preserve"> the </w:t>
      </w:r>
      <w:r w:rsidR="0019619C">
        <w:t>generated graph</w:t>
      </w:r>
      <w:r w:rsidR="00F07187">
        <w:t>s</w:t>
      </w:r>
      <w:r w:rsidR="0019619C">
        <w:t xml:space="preserve">, </w:t>
      </w:r>
      <w:r w:rsidRPr="00F703F9">
        <w:t xml:space="preserve">the </w:t>
      </w:r>
      <w:r w:rsidR="00992DDF">
        <w:t>N</w:t>
      </w:r>
      <w:r w:rsidR="00177576" w:rsidRPr="00F703F9">
        <w:t>earest</w:t>
      </w:r>
      <w:r w:rsidR="00992DDF">
        <w:t xml:space="preserve"> Neighbor I</w:t>
      </w:r>
      <w:r w:rsidR="00343891" w:rsidRPr="00F703F9">
        <w:t>ndex (</w:t>
      </w:r>
      <w:bookmarkStart w:id="315" w:name="OLE_LINK165"/>
      <w:bookmarkStart w:id="316" w:name="OLE_LINK166"/>
      <w:r w:rsidR="00343891" w:rsidRPr="00634E75">
        <w:rPr>
          <w:i/>
        </w:rPr>
        <w:t>NNI</w:t>
      </w:r>
      <w:bookmarkEnd w:id="314"/>
      <w:bookmarkEnd w:id="315"/>
      <w:bookmarkEnd w:id="316"/>
      <w:r w:rsidR="00D45BC4">
        <w:t xml:space="preserve">) </w:t>
      </w:r>
      <w:r w:rsidR="009873D0">
        <w:t>is</w:t>
      </w:r>
      <w:r w:rsidR="0019619C">
        <w:t xml:space="preserve"> used</w:t>
      </w:r>
      <w:r w:rsidR="00AA6B12">
        <w:t xml:space="preserve"> </w:t>
      </w:r>
      <w:r w:rsidR="00CB01F9" w:rsidRPr="00FD4B8A">
        <w:t>(</w:t>
      </w:r>
      <w:r w:rsidR="00CB01F9">
        <w:t>Clark and Evans, 1954</w:t>
      </w:r>
      <w:r w:rsidR="00CB01F9" w:rsidRPr="00FD4B8A">
        <w:t>).</w:t>
      </w:r>
      <w:r w:rsidR="0019619C">
        <w:t xml:space="preserve"> The </w:t>
      </w:r>
      <w:r w:rsidR="0019619C" w:rsidRPr="009873D0">
        <w:rPr>
          <w:i/>
        </w:rPr>
        <w:t>NNI</w:t>
      </w:r>
      <w:r w:rsidR="00C34ED3">
        <w:rPr>
          <w:i/>
        </w:rPr>
        <w:t xml:space="preserve"> </w:t>
      </w:r>
      <w:r w:rsidR="00D45BC4">
        <w:t xml:space="preserve">is </w:t>
      </w:r>
      <w:r w:rsidR="00DE6CB5">
        <w:t>defined as the ratio</w:t>
      </w:r>
      <w:r w:rsidR="00C90960">
        <w:rPr>
          <w:rFonts w:eastAsiaTheme="minor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obs</m:t>
            </m:r>
          </m:sub>
        </m:sSub>
      </m:oMath>
      <w:r w:rsidR="00E01B42">
        <w:rPr>
          <w:rFonts w:eastAsiaTheme="minorEastAsia"/>
        </w:rPr>
        <w:t xml:space="preserve"> /</w:t>
      </w:r>
      <m:oMath>
        <m:sSub>
          <m:sSubPr>
            <m:ctrlPr>
              <w:rPr>
                <w:rFonts w:ascii="Cambria Math" w:hAnsi="Cambria Math"/>
                <w:i/>
              </w:rPr>
            </m:ctrlPr>
          </m:sSubPr>
          <m:e>
            <m:r>
              <w:rPr>
                <w:rFonts w:ascii="Cambria Math" w:hAnsi="Cambria Math"/>
              </w:rPr>
              <m:t xml:space="preserve"> d</m:t>
            </m:r>
          </m:e>
          <m:sub>
            <m:r>
              <w:rPr>
                <w:rFonts w:ascii="Cambria Math" w:hAnsi="Cambria Math"/>
              </w:rPr>
              <m:t>ran</m:t>
            </m:r>
          </m:sub>
        </m:sSub>
      </m:oMath>
      <w:r w:rsidR="00CA2C28">
        <w:t>,</w:t>
      </w:r>
      <w:bookmarkStart w:id="317" w:name="OLE_LINK378"/>
      <w:bookmarkStart w:id="318" w:name="OLE_LINK379"/>
      <w:bookmarkStart w:id="319" w:name="OLE_LINK380"/>
      <w:bookmarkStart w:id="320" w:name="OLE_LINK381"/>
      <w:r w:rsidR="00C34ED3">
        <w:t xml:space="preserve"> </w:t>
      </w:r>
      <w:r w:rsidR="00CA2C28">
        <w:t>where t</w:t>
      </w:r>
      <w:r w:rsidR="00FB2C7A" w:rsidRPr="00F703F9">
        <w:t>he observed distance</w:t>
      </w:r>
      <w:r w:rsidR="00C926FD">
        <w:t xml:space="preserve"> </w:t>
      </w:r>
      <m:oMath>
        <m:sSub>
          <m:sSubPr>
            <m:ctrlPr>
              <w:rPr>
                <w:rFonts w:ascii="Cambria Math" w:hAnsi="Cambria Math"/>
                <w:i/>
              </w:rPr>
            </m:ctrlPr>
          </m:sSubPr>
          <m:e>
            <m:r>
              <w:rPr>
                <w:rFonts w:ascii="Cambria Math" w:hAnsi="Cambria Math"/>
              </w:rPr>
              <m:t>d</m:t>
            </m:r>
          </m:e>
          <m:sub>
            <m:r>
              <w:rPr>
                <w:rFonts w:ascii="Cambria Math" w:hAnsi="Cambria Math"/>
              </w:rPr>
              <m:t>obs</m:t>
            </m:r>
          </m:sub>
        </m:sSub>
      </m:oMath>
      <w:r w:rsidR="00DC6D8D">
        <w:rPr>
          <w:rFonts w:eastAsiaTheme="minorEastAsia"/>
        </w:rPr>
        <w:t xml:space="preserve"> </w:t>
      </w:r>
      <w:r w:rsidR="00C926FD" w:rsidRPr="00E01B42">
        <w:t>represents</w:t>
      </w:r>
      <w:r w:rsidR="00C926FD">
        <w:t xml:space="preserve"> the average of the distance observed between each point and its nearest neighbor</w:t>
      </w:r>
      <w:r w:rsidR="00DC6D8D">
        <w:t>, and t</w:t>
      </w:r>
      <w:r w:rsidR="00DC6D8D" w:rsidRPr="00F703F9">
        <w:t>he random</w:t>
      </w:r>
      <w:bookmarkStart w:id="321" w:name="OLE_LINK167"/>
      <w:bookmarkStart w:id="322" w:name="OLE_LINK168"/>
      <w:r w:rsidR="00DC6D8D">
        <w:t xml:space="preserve"> </w:t>
      </w:r>
      <w:r w:rsidR="00DC6D8D" w:rsidRPr="00F703F9">
        <w:t xml:space="preserve">distance </w:t>
      </w:r>
      <m:oMath>
        <w:bookmarkEnd w:id="321"/>
        <w:bookmarkEnd w:id="322"/>
        <m:sSub>
          <m:sSubPr>
            <m:ctrlPr>
              <w:rPr>
                <w:rFonts w:ascii="Cambria Math" w:hAnsi="Cambria Math"/>
                <w:i/>
              </w:rPr>
            </m:ctrlPr>
          </m:sSubPr>
          <m:e>
            <m:r>
              <w:rPr>
                <w:rFonts w:ascii="Cambria Math" w:hAnsi="Cambria Math"/>
              </w:rPr>
              <m:t xml:space="preserve"> d</m:t>
            </m:r>
          </m:e>
          <m:sub>
            <m:r>
              <w:rPr>
                <w:rFonts w:ascii="Cambria Math" w:hAnsi="Cambria Math"/>
              </w:rPr>
              <m:t>ran</m:t>
            </m:r>
          </m:sub>
        </m:sSub>
      </m:oMath>
      <w:r w:rsidR="00DC6D8D">
        <w:t xml:space="preserve"> is the expected average distance that would occur, if the distribution was random. The former </w:t>
      </w:r>
      <w:r w:rsidR="008608BC">
        <w:t xml:space="preserve">is given </w:t>
      </w:r>
      <w:bookmarkStart w:id="323" w:name="OLE_LINK480"/>
      <w:bookmarkStart w:id="324" w:name="OLE_LINK481"/>
      <w:bookmarkStart w:id="325" w:name="OLE_LINK484"/>
      <w:bookmarkStart w:id="326" w:name="OLE_LINK589"/>
      <w:bookmarkStart w:id="327" w:name="OLE_LINK590"/>
      <w:proofErr w:type="gramStart"/>
      <w:r w:rsidR="002A436B">
        <w:t xml:space="preserve">by </w:t>
      </w:r>
      <m:oMath>
        <w:proofErr w:type="gramEnd"/>
        <m:sSub>
          <m:sSubPr>
            <m:ctrlPr>
              <w:rPr>
                <w:rFonts w:ascii="Cambria Math" w:hAnsi="Cambria Math"/>
                <w:i/>
              </w:rPr>
            </m:ctrlPr>
          </m:sSubPr>
          <m:e>
            <m:r>
              <w:rPr>
                <w:rFonts w:ascii="Cambria Math" w:hAnsi="Cambria Math"/>
              </w:rPr>
              <m:t>d</m:t>
            </m:r>
          </m:e>
          <m:sub>
            <m:r>
              <w:rPr>
                <w:rFonts w:ascii="Cambria Math" w:hAnsi="Cambria Math"/>
              </w:rPr>
              <m:t>obs</m:t>
            </m:r>
          </m:sub>
        </m:sSub>
        <w:bookmarkEnd w:id="323"/>
        <w:bookmarkEnd w:id="324"/>
        <w:bookmarkEnd w:id="325"/>
        <w:bookmarkEnd w:id="326"/>
        <w:bookmarkEnd w:id="327"/>
        <m:r>
          <w:rPr>
            <w:rFonts w:ascii="Cambria Math" w:hAnsi="Cambria Math"/>
          </w:rPr>
          <m:t xml:space="preserve">= </m:t>
        </m:r>
        <m:f>
          <m:fPr>
            <m:type m:val="lin"/>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 ∈P∪D</m:t>
                </m:r>
              </m:sub>
              <m:sup/>
              <m:e>
                <w:bookmarkStart w:id="328" w:name="OLE_LINK587"/>
                <w:bookmarkStart w:id="329" w:name="OLE_LINK588"/>
                <m:sSub>
                  <m:sSubPr>
                    <m:ctrlPr>
                      <w:rPr>
                        <w:rFonts w:ascii="Cambria Math" w:hAnsi="Cambria Math"/>
                        <w:i/>
                      </w:rPr>
                    </m:ctrlPr>
                  </m:sSubPr>
                  <m:e>
                    <m:r>
                      <w:rPr>
                        <w:rFonts w:ascii="Cambria Math" w:hAnsi="Cambria Math"/>
                      </w:rPr>
                      <m:t>nd</m:t>
                    </m:r>
                  </m:e>
                  <m:sub>
                    <m:r>
                      <w:rPr>
                        <w:rFonts w:ascii="Cambria Math" w:hAnsi="Cambria Math"/>
                      </w:rPr>
                      <m:t>i</m:t>
                    </m:r>
                  </m:sub>
                </m:sSub>
                <w:bookmarkEnd w:id="328"/>
                <w:bookmarkEnd w:id="329"/>
              </m:e>
            </m:nary>
          </m:num>
          <m:den>
            <m:r>
              <w:rPr>
                <w:rFonts w:ascii="Cambria Math" w:hAnsi="Cambria Math"/>
              </w:rPr>
              <m:t>(2∙n)</m:t>
            </m:r>
          </m:den>
        </m:f>
      </m:oMath>
      <w:r w:rsidR="00EB0D5C">
        <w:rPr>
          <w:rFonts w:eastAsiaTheme="minorEastAsia"/>
        </w:rPr>
        <w:t xml:space="preserve">, where </w:t>
      </w:r>
      <m:oMath>
        <m:sSub>
          <m:sSubPr>
            <m:ctrlPr>
              <w:rPr>
                <w:rFonts w:ascii="Cambria Math" w:hAnsi="Cambria Math"/>
                <w:i/>
              </w:rPr>
            </m:ctrlPr>
          </m:sSubPr>
          <m:e>
            <m:r>
              <w:rPr>
                <w:rFonts w:ascii="Cambria Math" w:hAnsi="Cambria Math"/>
              </w:rPr>
              <m:t>nd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min</m:t>
            </m:r>
          </m:e>
          <m:sub>
            <m:r>
              <w:rPr>
                <w:rFonts w:ascii="Cambria Math" w:hAnsi="Cambria Math"/>
              </w:rPr>
              <m:t>j∈P∪D, i≠j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oMath>
      <w:r w:rsidR="00DC6D8D">
        <w:t xml:space="preserve">. The latter can </w:t>
      </w:r>
      <w:r w:rsidR="00E116BB">
        <w:t xml:space="preserve">obtained </w:t>
      </w:r>
      <w:proofErr w:type="gramStart"/>
      <w:r w:rsidR="00E116BB">
        <w:t>as</w:t>
      </w:r>
      <w:r w:rsidR="008608BC">
        <w:t xml:space="preserve"> </w:t>
      </w:r>
      <m:oMath>
        <w:proofErr w:type="gramEnd"/>
        <m:sSub>
          <m:sSubPr>
            <m:ctrlPr>
              <w:rPr>
                <w:rFonts w:ascii="Cambria Math" w:hAnsi="Cambria Math"/>
                <w:i/>
              </w:rPr>
            </m:ctrlPr>
          </m:sSubPr>
          <m:e>
            <m:r>
              <w:rPr>
                <w:rFonts w:ascii="Cambria Math" w:hAnsi="Cambria Math"/>
              </w:rPr>
              <m:t>d</m:t>
            </m:r>
          </m:e>
          <m:sub>
            <m:r>
              <w:rPr>
                <w:rFonts w:ascii="Cambria Math" w:hAnsi="Cambria Math"/>
              </w:rPr>
              <m:t>ran</m:t>
            </m:r>
          </m:sub>
        </m:sSub>
        <m:r>
          <w:rPr>
            <w:rFonts w:ascii="Cambria Math" w:hAnsi="Cambria Math"/>
          </w:rPr>
          <m:t xml:space="preserve">=0.5 </m:t>
        </m:r>
        <w:bookmarkStart w:id="330" w:name="OLE_LINK600"/>
        <w:bookmarkStart w:id="331" w:name="OLE_LINK601"/>
        <w:bookmarkStart w:id="332" w:name="OLE_LINK602"/>
        <m:r>
          <w:rPr>
            <w:rFonts w:ascii="Cambria Math" w:hAnsi="Cambria Math"/>
          </w:rPr>
          <m:t>∙</m:t>
        </m:r>
        <w:bookmarkEnd w:id="330"/>
        <w:bookmarkEnd w:id="331"/>
        <w:bookmarkEnd w:id="332"/>
        <m:r>
          <w:rPr>
            <w:rFonts w:ascii="Cambria Math" w:hAnsi="Cambria Math"/>
          </w:rPr>
          <m:t>(</m:t>
        </m:r>
        <m:rad>
          <m:radPr>
            <m:degHide m:val="on"/>
            <m:ctrlPr>
              <w:rPr>
                <w:rFonts w:ascii="Cambria Math" w:hAnsi="Cambria Math"/>
                <w:i/>
              </w:rPr>
            </m:ctrlPr>
          </m:radPr>
          <m:deg/>
          <m:e>
            <m:r>
              <w:rPr>
                <w:rFonts w:ascii="Cambria Math" w:hAnsi="Cambria Math"/>
              </w:rPr>
              <m:t>(2∙n)/A)</m:t>
            </m:r>
          </m:e>
        </m:rad>
      </m:oMath>
      <w:r w:rsidR="00E116BB">
        <w:rPr>
          <w:rFonts w:eastAsiaTheme="minorEastAsia"/>
        </w:rPr>
        <w:t xml:space="preserve">, where </w:t>
      </w:r>
      <w:r w:rsidR="00E116BB" w:rsidRPr="006F105A">
        <w:rPr>
          <w:rFonts w:eastAsiaTheme="minorEastAsia"/>
          <w:i/>
        </w:rPr>
        <w:t>A</w:t>
      </w:r>
      <w:r w:rsidR="00E116BB">
        <w:rPr>
          <w:rFonts w:eastAsiaTheme="minorEastAsia"/>
        </w:rPr>
        <w:t xml:space="preserve"> is </w:t>
      </w:r>
      <w:r w:rsidR="0019619C" w:rsidRPr="00FD4B8A">
        <w:t xml:space="preserve">the </w:t>
      </w:r>
      <w:r w:rsidR="00AB7281" w:rsidRPr="00FD4B8A">
        <w:t>area</w:t>
      </w:r>
      <w:r w:rsidR="00E116BB">
        <w:t xml:space="preserve"> </w:t>
      </w:r>
      <w:r w:rsidR="0019619C" w:rsidRPr="00FD4B8A">
        <w:t>of the grid</w:t>
      </w:r>
      <w:r w:rsidR="00910580" w:rsidRPr="00FD4B8A">
        <w:t>.</w:t>
      </w:r>
      <w:bookmarkEnd w:id="317"/>
      <w:bookmarkEnd w:id="318"/>
      <w:bookmarkEnd w:id="319"/>
      <w:bookmarkEnd w:id="320"/>
      <w:r w:rsidR="00B16D48" w:rsidRPr="00B16D48">
        <w:t xml:space="preserve"> </w:t>
      </w:r>
      <w:r w:rsidR="00463370" w:rsidRPr="00FD4B8A">
        <w:rPr>
          <w:i/>
        </w:rPr>
        <w:t>NNI</w:t>
      </w:r>
      <w:r w:rsidR="00C34ED3">
        <w:rPr>
          <w:i/>
        </w:rPr>
        <w:t xml:space="preserve"> </w:t>
      </w:r>
      <w:r w:rsidR="00463370" w:rsidRPr="00FD4B8A">
        <w:t xml:space="preserve">values </w:t>
      </w:r>
      <w:r w:rsidR="003666EA" w:rsidRPr="00FD4B8A">
        <w:t xml:space="preserve">less than </w:t>
      </w:r>
      <w:proofErr w:type="gramStart"/>
      <w:r w:rsidR="00DC6D8D">
        <w:t>1,</w:t>
      </w:r>
      <w:proofErr w:type="gramEnd"/>
      <w:r w:rsidR="00C34ED3">
        <w:t xml:space="preserve"> </w:t>
      </w:r>
      <w:r w:rsidR="00463370" w:rsidRPr="00FD4B8A">
        <w:t xml:space="preserve">indicate </w:t>
      </w:r>
      <w:r w:rsidR="00343891" w:rsidRPr="00FD4B8A">
        <w:t>some degree of clustering</w:t>
      </w:r>
      <w:bookmarkStart w:id="333" w:name="OLE_LINK359"/>
      <w:bookmarkStart w:id="334" w:name="OLE_LINK360"/>
      <w:bookmarkStart w:id="335" w:name="OLE_LINK403"/>
      <w:bookmarkStart w:id="336" w:name="OLE_LINK325"/>
      <w:bookmarkStart w:id="337" w:name="OLE_LINK75"/>
      <w:bookmarkStart w:id="338" w:name="OLE_LINK76"/>
      <w:r w:rsidR="00CB01F9">
        <w:t>.</w:t>
      </w:r>
      <w:r w:rsidR="00B16D48" w:rsidRPr="00B16D48">
        <w:t xml:space="preserve"> </w:t>
      </w:r>
      <w:r w:rsidR="00B16D48">
        <w:t xml:space="preserve">In Figure 1 we provide the </w:t>
      </w:r>
      <w:r w:rsidR="00DC6D8D">
        <w:t xml:space="preserve">56-node </w:t>
      </w:r>
      <w:r w:rsidR="00B16D48">
        <w:t>graphs for the three distribution classes</w:t>
      </w:r>
      <w:r w:rsidR="00FD4B8A" w:rsidRPr="00FD4B8A">
        <w: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143"/>
        <w:gridCol w:w="3143"/>
        <w:gridCol w:w="3143"/>
      </w:tblGrid>
      <w:tr w:rsidR="00DC253A" w:rsidTr="00DA4B35">
        <w:tc>
          <w:tcPr>
            <w:tcW w:w="3143" w:type="dxa"/>
            <w:tcBorders>
              <w:top w:val="nil"/>
              <w:left w:val="nil"/>
              <w:bottom w:val="nil"/>
            </w:tcBorders>
          </w:tcPr>
          <w:p w:rsidR="00DC253A" w:rsidRDefault="00DC253A" w:rsidP="00DC253A">
            <w:pPr>
              <w:jc w:val="center"/>
              <w:rPr>
                <w:b/>
              </w:rPr>
            </w:pPr>
            <w:bookmarkStart w:id="339" w:name="OLE_LINK264"/>
            <w:bookmarkStart w:id="340" w:name="OLE_LINK265"/>
            <w:bookmarkStart w:id="341" w:name="OLE_LINK266"/>
          </w:p>
          <w:p w:rsidR="00DC253A" w:rsidRDefault="00DC253A" w:rsidP="00D96A62">
            <w:pPr>
              <w:jc w:val="center"/>
              <w:rPr>
                <w:b/>
              </w:rPr>
            </w:pPr>
            <w:r>
              <w:rPr>
                <w:noProof/>
              </w:rPr>
              <w:drawing>
                <wp:inline distT="0" distB="0" distL="0" distR="0">
                  <wp:extent cx="1863425" cy="1647646"/>
                  <wp:effectExtent l="19050" t="0" r="3475" b="0"/>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63090" cy="1647349"/>
                          </a:xfrm>
                          <a:prstGeom prst="rect">
                            <a:avLst/>
                          </a:prstGeom>
                          <a:noFill/>
                          <a:ln w="9525">
                            <a:noFill/>
                            <a:miter lim="800000"/>
                            <a:headEnd/>
                            <a:tailEnd/>
                          </a:ln>
                        </pic:spPr>
                      </pic:pic>
                    </a:graphicData>
                  </a:graphic>
                </wp:inline>
              </w:drawing>
            </w:r>
          </w:p>
        </w:tc>
        <w:tc>
          <w:tcPr>
            <w:tcW w:w="3143" w:type="dxa"/>
            <w:tcBorders>
              <w:top w:val="nil"/>
              <w:bottom w:val="nil"/>
            </w:tcBorders>
          </w:tcPr>
          <w:p w:rsidR="00DC253A" w:rsidRDefault="00DC253A" w:rsidP="00DC253A">
            <w:pPr>
              <w:jc w:val="center"/>
              <w:rPr>
                <w:b/>
              </w:rPr>
            </w:pPr>
          </w:p>
          <w:p w:rsidR="00DC253A" w:rsidRDefault="00DC253A" w:rsidP="00D96A62">
            <w:pPr>
              <w:jc w:val="center"/>
              <w:rPr>
                <w:b/>
              </w:rPr>
            </w:pPr>
            <w:r>
              <w:rPr>
                <w:noProof/>
              </w:rPr>
              <w:drawing>
                <wp:inline distT="0" distB="0" distL="0" distR="0">
                  <wp:extent cx="1654474" cy="1656110"/>
                  <wp:effectExtent l="19050" t="0" r="2876"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55824" cy="1657461"/>
                          </a:xfrm>
                          <a:prstGeom prst="rect">
                            <a:avLst/>
                          </a:prstGeom>
                          <a:noFill/>
                          <a:ln w="9525">
                            <a:noFill/>
                            <a:miter lim="800000"/>
                            <a:headEnd/>
                            <a:tailEnd/>
                          </a:ln>
                        </pic:spPr>
                      </pic:pic>
                    </a:graphicData>
                  </a:graphic>
                </wp:inline>
              </w:drawing>
            </w:r>
          </w:p>
        </w:tc>
        <w:tc>
          <w:tcPr>
            <w:tcW w:w="3143" w:type="dxa"/>
            <w:tcBorders>
              <w:top w:val="nil"/>
              <w:bottom w:val="nil"/>
              <w:right w:val="nil"/>
            </w:tcBorders>
          </w:tcPr>
          <w:p w:rsidR="00DC253A" w:rsidRDefault="00DC253A" w:rsidP="00DC253A">
            <w:pPr>
              <w:jc w:val="center"/>
              <w:rPr>
                <w:b/>
              </w:rPr>
            </w:pPr>
          </w:p>
          <w:p w:rsidR="00DC253A" w:rsidRDefault="00DC253A" w:rsidP="00D96A62">
            <w:pPr>
              <w:jc w:val="center"/>
              <w:rPr>
                <w:b/>
              </w:rPr>
            </w:pPr>
            <w:r>
              <w:rPr>
                <w:noProof/>
              </w:rPr>
              <w:drawing>
                <wp:inline distT="0" distB="0" distL="0" distR="0">
                  <wp:extent cx="1647010" cy="1645149"/>
                  <wp:effectExtent l="19050" t="0" r="0" b="0"/>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49689" cy="1647825"/>
                          </a:xfrm>
                          <a:prstGeom prst="rect">
                            <a:avLst/>
                          </a:prstGeom>
                          <a:noFill/>
                          <a:ln w="9525">
                            <a:noFill/>
                            <a:miter lim="800000"/>
                            <a:headEnd/>
                            <a:tailEnd/>
                          </a:ln>
                        </pic:spPr>
                      </pic:pic>
                    </a:graphicData>
                  </a:graphic>
                </wp:inline>
              </w:drawing>
            </w:r>
          </w:p>
        </w:tc>
      </w:tr>
      <w:tr w:rsidR="00D96A62" w:rsidTr="00DA4B35">
        <w:tc>
          <w:tcPr>
            <w:tcW w:w="3143" w:type="dxa"/>
            <w:tcBorders>
              <w:top w:val="nil"/>
              <w:left w:val="nil"/>
              <w:bottom w:val="nil"/>
              <w:right w:val="nil"/>
            </w:tcBorders>
          </w:tcPr>
          <w:p w:rsidR="00D96A62" w:rsidRPr="00DA4B35" w:rsidRDefault="00D96A62" w:rsidP="00D96A62">
            <w:pPr>
              <w:jc w:val="center"/>
              <w:rPr>
                <w:sz w:val="20"/>
              </w:rPr>
            </w:pPr>
            <w:r w:rsidRPr="00DA4B35">
              <w:rPr>
                <w:sz w:val="20"/>
              </w:rPr>
              <w:t>Random distribution class</w:t>
            </w:r>
          </w:p>
          <w:p w:rsidR="00D96A62" w:rsidRPr="00DA4B35" w:rsidRDefault="00D96A62" w:rsidP="00D96A62">
            <w:pPr>
              <w:jc w:val="center"/>
              <w:rPr>
                <w:sz w:val="20"/>
              </w:rPr>
            </w:pPr>
            <w:r w:rsidRPr="00DA4B35">
              <w:rPr>
                <w:sz w:val="20"/>
              </w:rPr>
              <w:t>(</w:t>
            </w:r>
            <w:r w:rsidRPr="00DA4B35">
              <w:rPr>
                <w:i/>
                <w:sz w:val="20"/>
              </w:rPr>
              <w:t>R</w:t>
            </w:r>
            <w:r w:rsidRPr="00DA4B35">
              <w:rPr>
                <w:sz w:val="20"/>
              </w:rPr>
              <w:t>)</w:t>
            </w:r>
          </w:p>
        </w:tc>
        <w:tc>
          <w:tcPr>
            <w:tcW w:w="3143" w:type="dxa"/>
            <w:tcBorders>
              <w:top w:val="nil"/>
              <w:left w:val="nil"/>
              <w:bottom w:val="nil"/>
              <w:right w:val="nil"/>
            </w:tcBorders>
          </w:tcPr>
          <w:p w:rsidR="00D96A62" w:rsidRPr="00DA4B35" w:rsidRDefault="00D96A62" w:rsidP="00D96A62">
            <w:pPr>
              <w:jc w:val="center"/>
              <w:rPr>
                <w:sz w:val="20"/>
              </w:rPr>
            </w:pPr>
            <w:r w:rsidRPr="00DA4B35">
              <w:rPr>
                <w:sz w:val="20"/>
              </w:rPr>
              <w:t>Semi-clustered distribution class (</w:t>
            </w:r>
            <w:r w:rsidRPr="00DA4B35">
              <w:rPr>
                <w:i/>
                <w:sz w:val="20"/>
              </w:rPr>
              <w:t>RC</w:t>
            </w:r>
            <w:r w:rsidRPr="00DA4B35">
              <w:rPr>
                <w:sz w:val="20"/>
              </w:rPr>
              <w:t>)</w:t>
            </w:r>
          </w:p>
        </w:tc>
        <w:tc>
          <w:tcPr>
            <w:tcW w:w="3143" w:type="dxa"/>
            <w:tcBorders>
              <w:top w:val="nil"/>
              <w:left w:val="nil"/>
              <w:bottom w:val="nil"/>
              <w:right w:val="nil"/>
            </w:tcBorders>
          </w:tcPr>
          <w:p w:rsidR="00D96A62" w:rsidRPr="00DA4B35" w:rsidRDefault="00D96A62" w:rsidP="00D96A62">
            <w:pPr>
              <w:jc w:val="center"/>
              <w:rPr>
                <w:sz w:val="20"/>
              </w:rPr>
            </w:pPr>
            <w:r w:rsidRPr="00DA4B35">
              <w:rPr>
                <w:sz w:val="20"/>
              </w:rPr>
              <w:t>Clustered distribution class</w:t>
            </w:r>
          </w:p>
          <w:p w:rsidR="00D96A62" w:rsidRPr="00DA4B35" w:rsidRDefault="00D96A62" w:rsidP="00D96A62">
            <w:pPr>
              <w:jc w:val="center"/>
              <w:rPr>
                <w:sz w:val="20"/>
              </w:rPr>
            </w:pPr>
            <w:r w:rsidRPr="00DA4B35">
              <w:rPr>
                <w:sz w:val="20"/>
              </w:rPr>
              <w:t>(</w:t>
            </w:r>
            <w:r w:rsidRPr="00DA4B35">
              <w:rPr>
                <w:i/>
                <w:sz w:val="20"/>
              </w:rPr>
              <w:t>C</w:t>
            </w:r>
            <w:r w:rsidRPr="00DA4B35">
              <w:rPr>
                <w:sz w:val="20"/>
              </w:rPr>
              <w:t>)</w:t>
            </w:r>
          </w:p>
        </w:tc>
      </w:tr>
      <w:tr w:rsidR="00D96A62" w:rsidTr="00DA4B35">
        <w:tc>
          <w:tcPr>
            <w:tcW w:w="9429" w:type="dxa"/>
            <w:gridSpan w:val="3"/>
            <w:tcBorders>
              <w:top w:val="nil"/>
              <w:left w:val="nil"/>
              <w:bottom w:val="nil"/>
              <w:right w:val="nil"/>
            </w:tcBorders>
          </w:tcPr>
          <w:p w:rsidR="00DA4B35" w:rsidRPr="00EB348E" w:rsidRDefault="00DA4B35" w:rsidP="00BD3852">
            <w:pPr>
              <w:jc w:val="both"/>
              <w:rPr>
                <w:b/>
                <w:sz w:val="20"/>
              </w:rPr>
            </w:pPr>
          </w:p>
          <w:p w:rsidR="00D96A62" w:rsidRPr="009F61CF" w:rsidRDefault="00D96A62" w:rsidP="00BF1F6F">
            <w:pPr>
              <w:rPr>
                <w:b/>
              </w:rPr>
            </w:pPr>
            <w:r w:rsidRPr="00BD3852">
              <w:rPr>
                <w:b/>
                <w:sz w:val="20"/>
              </w:rPr>
              <w:t>Figure 1</w:t>
            </w:r>
            <w:r w:rsidR="00BF1F6F">
              <w:rPr>
                <w:b/>
                <w:sz w:val="20"/>
              </w:rPr>
              <w:t xml:space="preserve">. </w:t>
            </w:r>
            <w:r w:rsidRPr="00BD3852">
              <w:rPr>
                <w:sz w:val="20"/>
              </w:rPr>
              <w:t>Illustration of the geographic distribution classes (</w:t>
            </w:r>
            <w:r w:rsidRPr="00BD3852">
              <w:rPr>
                <w:i/>
                <w:sz w:val="20"/>
              </w:rPr>
              <w:t xml:space="preserve">R, RC </w:t>
            </w:r>
            <w:r w:rsidRPr="00BD3852">
              <w:rPr>
                <w:sz w:val="20"/>
              </w:rPr>
              <w:t xml:space="preserve">and </w:t>
            </w:r>
            <w:r w:rsidRPr="00BD3852">
              <w:rPr>
                <w:i/>
                <w:sz w:val="20"/>
              </w:rPr>
              <w:t>C</w:t>
            </w:r>
            <w:r w:rsidR="00BD3852">
              <w:rPr>
                <w:sz w:val="20"/>
              </w:rPr>
              <w:t xml:space="preserve">) of size </w:t>
            </w:r>
            <w:r w:rsidR="00BD3852" w:rsidRPr="00BD3852">
              <w:rPr>
                <w:i/>
                <w:sz w:val="20"/>
              </w:rPr>
              <w:t>2</w:t>
            </w:r>
            <m:oMath>
              <m:r>
                <w:rPr>
                  <w:rFonts w:ascii="Cambria Math" w:hAnsi="Cambria Math"/>
                </w:rPr>
                <m:t>∙</m:t>
              </m:r>
            </m:oMath>
            <w:r w:rsidR="00BD3852" w:rsidRPr="00BD3852">
              <w:rPr>
                <w:i/>
                <w:sz w:val="20"/>
              </w:rPr>
              <w:t>n</w:t>
            </w:r>
            <w:r w:rsidR="00BD3852">
              <w:rPr>
                <w:sz w:val="20"/>
              </w:rPr>
              <w:t xml:space="preserve"> =</w:t>
            </w:r>
            <w:r w:rsidRPr="00BD3852">
              <w:rPr>
                <w:sz w:val="20"/>
              </w:rPr>
              <w:t xml:space="preserve"> 56.</w:t>
            </w:r>
          </w:p>
        </w:tc>
      </w:tr>
      <w:bookmarkEnd w:id="339"/>
      <w:bookmarkEnd w:id="340"/>
      <w:bookmarkEnd w:id="341"/>
    </w:tbl>
    <w:p w:rsidR="00DC253A" w:rsidRPr="00D45BC4" w:rsidRDefault="00DC253A" w:rsidP="00F703F9">
      <w:pPr>
        <w:pStyle w:val="svarticle"/>
        <w:shd w:val="clear" w:color="auto" w:fill="FFFFFF"/>
        <w:spacing w:before="0" w:beforeAutospacing="0" w:after="122" w:afterAutospacing="0" w:line="276" w:lineRule="auto"/>
        <w:jc w:val="both"/>
        <w:textAlignment w:val="baseline"/>
        <w:rPr>
          <w:rFonts w:asciiTheme="minorHAnsi" w:hAnsiTheme="minorHAnsi"/>
          <w:sz w:val="22"/>
          <w:szCs w:val="22"/>
        </w:rPr>
      </w:pPr>
    </w:p>
    <w:bookmarkEnd w:id="333"/>
    <w:bookmarkEnd w:id="334"/>
    <w:bookmarkEnd w:id="335"/>
    <w:p w:rsidR="00F00EA5" w:rsidRDefault="00ED3AE5" w:rsidP="00F00EA5">
      <w:pPr>
        <w:pStyle w:val="RoadefTexte"/>
        <w:tabs>
          <w:tab w:val="left" w:pos="720"/>
        </w:tabs>
        <w:spacing w:after="0" w:line="276" w:lineRule="auto"/>
        <w:ind w:firstLine="0"/>
        <w:rPr>
          <w:rFonts w:asciiTheme="minorHAnsi" w:hAnsiTheme="minorHAnsi"/>
          <w:b/>
          <w:i/>
          <w:lang w:val="en-US"/>
        </w:rPr>
      </w:pPr>
      <w:r w:rsidRPr="00F00EA5">
        <w:rPr>
          <w:rFonts w:asciiTheme="minorHAnsi" w:hAnsiTheme="minorHAnsi"/>
          <w:i/>
          <w:lang w:val="en-US"/>
        </w:rPr>
        <w:t>Proximity of s</w:t>
      </w:r>
      <w:r w:rsidR="00343891" w:rsidRPr="00F00EA5">
        <w:rPr>
          <w:rFonts w:asciiTheme="minorHAnsi" w:hAnsiTheme="minorHAnsi"/>
          <w:i/>
          <w:lang w:val="en-US"/>
        </w:rPr>
        <w:t xml:space="preserve">upplier-customer </w:t>
      </w:r>
      <w:bookmarkEnd w:id="336"/>
      <w:r w:rsidRPr="00F00EA5">
        <w:rPr>
          <w:rFonts w:asciiTheme="minorHAnsi" w:hAnsiTheme="minorHAnsi"/>
          <w:i/>
          <w:lang w:val="en-US"/>
        </w:rPr>
        <w:t>pairs</w:t>
      </w:r>
      <w:bookmarkStart w:id="342" w:name="OLE_LINK34"/>
      <w:r w:rsidR="00C34ED3">
        <w:rPr>
          <w:rFonts w:asciiTheme="minorHAnsi" w:hAnsiTheme="minorHAnsi"/>
          <w:b/>
          <w:i/>
          <w:lang w:val="en-US"/>
        </w:rPr>
        <w:t xml:space="preserve"> </w:t>
      </w:r>
    </w:p>
    <w:p w:rsidR="0053087D" w:rsidRPr="00132CEF" w:rsidRDefault="00EA0B83" w:rsidP="00F00EA5">
      <w:pPr>
        <w:pStyle w:val="RoadefTexte"/>
        <w:tabs>
          <w:tab w:val="left" w:pos="720"/>
        </w:tabs>
        <w:spacing w:after="0" w:line="276" w:lineRule="auto"/>
        <w:ind w:firstLine="0"/>
      </w:pPr>
      <w:r>
        <w:rPr>
          <w:rFonts w:asciiTheme="minorHAnsi" w:eastAsiaTheme="minorHAnsi" w:hAnsiTheme="minorHAnsi" w:cstheme="minorBidi"/>
          <w:lang w:val="en-US"/>
        </w:rPr>
        <w:t>Three</w:t>
      </w:r>
      <w:r w:rsidR="00634E75">
        <w:rPr>
          <w:rFonts w:asciiTheme="minorHAnsi" w:eastAsiaTheme="minorHAnsi" w:hAnsiTheme="minorHAnsi" w:cstheme="minorBidi"/>
          <w:lang w:val="en-US"/>
        </w:rPr>
        <w:t xml:space="preserve"> different classes of supplier-customer </w:t>
      </w:r>
      <w:r w:rsidR="001A736A">
        <w:rPr>
          <w:rFonts w:asciiTheme="minorHAnsi" w:eastAsiaTheme="minorHAnsi" w:hAnsiTheme="minorHAnsi" w:cstheme="minorBidi"/>
          <w:lang w:val="en-US"/>
        </w:rPr>
        <w:t xml:space="preserve">pair </w:t>
      </w:r>
      <w:r w:rsidR="00634E75">
        <w:rPr>
          <w:rFonts w:asciiTheme="minorHAnsi" w:eastAsiaTheme="minorHAnsi" w:hAnsiTheme="minorHAnsi" w:cstheme="minorBidi"/>
          <w:lang w:val="en-US"/>
        </w:rPr>
        <w:t>distances</w:t>
      </w:r>
      <w:r>
        <w:rPr>
          <w:rFonts w:asciiTheme="minorHAnsi" w:eastAsiaTheme="minorHAnsi" w:hAnsiTheme="minorHAnsi" w:cstheme="minorBidi"/>
          <w:lang w:val="en-US"/>
        </w:rPr>
        <w:t xml:space="preserve"> are </w:t>
      </w:r>
      <w:r w:rsidRPr="00376E5B">
        <w:rPr>
          <w:rFonts w:asciiTheme="minorHAnsi" w:eastAsiaTheme="minorHAnsi" w:hAnsiTheme="minorHAnsi" w:cstheme="minorBidi"/>
          <w:lang w:val="en-US"/>
        </w:rPr>
        <w:t>examined</w:t>
      </w:r>
      <w:r w:rsidR="00634E75" w:rsidRPr="00376E5B">
        <w:rPr>
          <w:rFonts w:asciiTheme="minorHAnsi" w:eastAsiaTheme="minorHAnsi" w:hAnsiTheme="minorHAnsi" w:cstheme="minorBidi"/>
          <w:lang w:val="en-US"/>
        </w:rPr>
        <w:t xml:space="preserve">. We consider large and small </w:t>
      </w:r>
      <w:r w:rsidR="00941880" w:rsidRPr="00376E5B">
        <w:rPr>
          <w:rFonts w:asciiTheme="minorHAnsi" w:eastAsiaTheme="minorHAnsi" w:hAnsiTheme="minorHAnsi" w:cstheme="minorBidi"/>
          <w:lang w:val="en-US"/>
        </w:rPr>
        <w:t xml:space="preserve">travel </w:t>
      </w:r>
      <w:r w:rsidR="00AB7281" w:rsidRPr="00376E5B">
        <w:rPr>
          <w:rFonts w:asciiTheme="minorHAnsi" w:eastAsiaTheme="minorHAnsi" w:hAnsiTheme="minorHAnsi" w:cstheme="minorBidi"/>
          <w:lang w:val="en-US"/>
        </w:rPr>
        <w:t>distances</w:t>
      </w:r>
      <w:r w:rsidR="00343891" w:rsidRPr="00376E5B">
        <w:rPr>
          <w:rFonts w:asciiTheme="minorHAnsi" w:eastAsiaTheme="minorHAnsi" w:hAnsiTheme="minorHAnsi" w:cstheme="minorBidi"/>
          <w:lang w:val="en-US"/>
        </w:rPr>
        <w:t xml:space="preserve"> </w:t>
      </w:r>
      <w:bookmarkStart w:id="343" w:name="OLE_LINK364"/>
      <w:bookmarkStart w:id="344" w:name="OLE_LINK365"/>
      <w:bookmarkStart w:id="345" w:name="OLE_LINK366"/>
      <w:r w:rsidR="00105FC6">
        <w:rPr>
          <w:rFonts w:asciiTheme="minorHAnsi" w:eastAsiaTheme="minorHAnsi" w:hAnsiTheme="minorHAnsi" w:cstheme="minorBidi"/>
          <w:lang w:val="en-US"/>
        </w:rPr>
        <w:t>between</w:t>
      </w:r>
      <w:r w:rsidR="008E4D4E" w:rsidRPr="00376E5B">
        <w:rPr>
          <w:rFonts w:asciiTheme="minorHAnsi" w:eastAsiaTheme="minorHAnsi" w:hAnsiTheme="minorHAnsi" w:cstheme="minorBidi"/>
          <w:lang w:val="en-US"/>
        </w:rPr>
        <w:t xml:space="preserve"> </w:t>
      </w:r>
      <w:bookmarkStart w:id="346" w:name="OLE_LINK327"/>
      <w:bookmarkStart w:id="347" w:name="OLE_LINK328"/>
      <w:r w:rsidR="008E4D4E" w:rsidRPr="00376E5B">
        <w:rPr>
          <w:rFonts w:asciiTheme="minorHAnsi" w:eastAsiaTheme="minorHAnsi" w:hAnsiTheme="minorHAnsi" w:cstheme="minorBidi"/>
          <w:lang w:val="en-US"/>
        </w:rPr>
        <w:t xml:space="preserve">supplier-customer </w:t>
      </w:r>
      <w:bookmarkEnd w:id="346"/>
      <w:bookmarkEnd w:id="347"/>
      <w:r w:rsidR="008E4D4E" w:rsidRPr="00376E5B">
        <w:rPr>
          <w:rFonts w:asciiTheme="minorHAnsi" w:eastAsiaTheme="minorHAnsi" w:hAnsiTheme="minorHAnsi" w:cstheme="minorBidi"/>
          <w:lang w:val="en-US"/>
        </w:rPr>
        <w:t xml:space="preserve">pairs </w:t>
      </w:r>
      <w:bookmarkEnd w:id="343"/>
      <w:bookmarkEnd w:id="344"/>
      <w:bookmarkEnd w:id="345"/>
      <w:r w:rsidR="00950014" w:rsidRPr="00376E5B">
        <w:rPr>
          <w:rFonts w:asciiTheme="minorHAnsi" w:eastAsiaTheme="minorHAnsi" w:hAnsiTheme="minorHAnsi" w:cstheme="minorBidi"/>
          <w:lang w:val="en-US"/>
        </w:rPr>
        <w:t xml:space="preserve">and the corresponding classes are </w:t>
      </w:r>
      <w:r w:rsidR="00412827" w:rsidRPr="00376E5B">
        <w:rPr>
          <w:rFonts w:asciiTheme="minorHAnsi" w:eastAsiaTheme="minorHAnsi" w:hAnsiTheme="minorHAnsi" w:cstheme="minorBidi"/>
          <w:lang w:val="en-US"/>
        </w:rPr>
        <w:t xml:space="preserve">denoted as </w:t>
      </w:r>
      <w:r w:rsidR="00412827" w:rsidRPr="005F7695">
        <w:rPr>
          <w:rFonts w:asciiTheme="minorHAnsi" w:eastAsiaTheme="minorHAnsi" w:hAnsiTheme="minorHAnsi" w:cstheme="minorBidi"/>
          <w:i/>
          <w:lang w:val="en-US"/>
        </w:rPr>
        <w:t>D</w:t>
      </w:r>
      <w:r w:rsidR="000A6AAA">
        <w:rPr>
          <w:rFonts w:asciiTheme="minorHAnsi" w:eastAsiaTheme="minorHAnsi" w:hAnsiTheme="minorHAnsi" w:cstheme="minorBidi"/>
          <w:i/>
          <w:lang w:val="en-US"/>
        </w:rPr>
        <w:t>S</w:t>
      </w:r>
      <w:r w:rsidR="00634E75" w:rsidRPr="00376E5B">
        <w:rPr>
          <w:rFonts w:asciiTheme="minorHAnsi" w:eastAsiaTheme="minorHAnsi" w:hAnsiTheme="minorHAnsi" w:cstheme="minorBidi"/>
          <w:lang w:val="en-US"/>
        </w:rPr>
        <w:t xml:space="preserve"> and </w:t>
      </w:r>
      <w:r w:rsidR="00634E75" w:rsidRPr="005F7695">
        <w:rPr>
          <w:rFonts w:asciiTheme="minorHAnsi" w:eastAsiaTheme="minorHAnsi" w:hAnsiTheme="minorHAnsi" w:cstheme="minorBidi"/>
          <w:i/>
          <w:lang w:val="en-US"/>
        </w:rPr>
        <w:t>CL</w:t>
      </w:r>
      <w:r w:rsidR="003666EA" w:rsidRPr="00376E5B">
        <w:rPr>
          <w:rFonts w:asciiTheme="minorHAnsi" w:eastAsiaTheme="minorHAnsi" w:hAnsiTheme="minorHAnsi" w:cstheme="minorBidi"/>
          <w:lang w:val="en-US"/>
        </w:rPr>
        <w:t>,</w:t>
      </w:r>
      <w:r w:rsidR="00634E75" w:rsidRPr="00376E5B">
        <w:rPr>
          <w:rFonts w:asciiTheme="minorHAnsi" w:eastAsiaTheme="minorHAnsi" w:hAnsiTheme="minorHAnsi" w:cstheme="minorBidi"/>
          <w:lang w:val="en-US"/>
        </w:rPr>
        <w:t xml:space="preserve"> respectively</w:t>
      </w:r>
      <w:r w:rsidR="008E4D4E" w:rsidRPr="00376E5B">
        <w:rPr>
          <w:rFonts w:asciiTheme="minorHAnsi" w:eastAsiaTheme="minorHAnsi" w:hAnsiTheme="minorHAnsi" w:cstheme="minorBidi"/>
          <w:lang w:val="en-US"/>
        </w:rPr>
        <w:t xml:space="preserve">. </w:t>
      </w:r>
      <w:r w:rsidR="00634E75" w:rsidRPr="00376E5B">
        <w:rPr>
          <w:rFonts w:asciiTheme="minorHAnsi" w:eastAsiaTheme="minorHAnsi" w:hAnsiTheme="minorHAnsi" w:cstheme="minorBidi"/>
          <w:lang w:val="en-US"/>
        </w:rPr>
        <w:t>A</w:t>
      </w:r>
      <w:r w:rsidR="00C34ED3">
        <w:rPr>
          <w:rFonts w:asciiTheme="minorHAnsi" w:eastAsiaTheme="minorHAnsi" w:hAnsiTheme="minorHAnsi" w:cstheme="minorBidi"/>
          <w:lang w:val="en-US"/>
        </w:rPr>
        <w:t xml:space="preserve"> </w:t>
      </w:r>
      <w:r w:rsidR="008E4D4E" w:rsidRPr="00376E5B">
        <w:rPr>
          <w:rFonts w:asciiTheme="minorHAnsi" w:eastAsiaTheme="minorHAnsi" w:hAnsiTheme="minorHAnsi" w:cstheme="minorBidi"/>
          <w:lang w:val="en-US"/>
        </w:rPr>
        <w:t>third</w:t>
      </w:r>
      <w:bookmarkStart w:id="348" w:name="OLE_LINK35"/>
      <w:bookmarkStart w:id="349" w:name="OLE_LINK36"/>
      <w:bookmarkStart w:id="350" w:name="OLE_LINK37"/>
      <w:r w:rsidR="00C34ED3">
        <w:rPr>
          <w:rFonts w:asciiTheme="minorHAnsi" w:eastAsiaTheme="minorHAnsi" w:hAnsiTheme="minorHAnsi" w:cstheme="minorBidi"/>
          <w:lang w:val="en-US"/>
        </w:rPr>
        <w:t xml:space="preserve"> </w:t>
      </w:r>
      <w:r w:rsidR="008E4D4E" w:rsidRPr="00376E5B">
        <w:rPr>
          <w:rFonts w:asciiTheme="minorHAnsi" w:eastAsiaTheme="minorHAnsi" w:hAnsiTheme="minorHAnsi" w:cstheme="minorBidi"/>
          <w:lang w:val="en-US"/>
        </w:rPr>
        <w:t>class</w:t>
      </w:r>
      <w:r w:rsidR="00C34ED3">
        <w:rPr>
          <w:rFonts w:asciiTheme="minorHAnsi" w:eastAsiaTheme="minorHAnsi" w:hAnsiTheme="minorHAnsi" w:cstheme="minorBidi"/>
          <w:lang w:val="en-US"/>
        </w:rPr>
        <w:t xml:space="preserve"> </w:t>
      </w:r>
      <w:r w:rsidR="00992DDF" w:rsidRPr="00376E5B">
        <w:rPr>
          <w:rFonts w:asciiTheme="minorHAnsi" w:eastAsiaTheme="minorHAnsi" w:hAnsiTheme="minorHAnsi" w:cstheme="minorBidi"/>
          <w:lang w:val="en-US"/>
        </w:rPr>
        <w:t>(</w:t>
      </w:r>
      <w:r w:rsidR="00992DDF" w:rsidRPr="005F7695">
        <w:rPr>
          <w:rFonts w:asciiTheme="minorHAnsi" w:eastAsiaTheme="minorHAnsi" w:hAnsiTheme="minorHAnsi" w:cstheme="minorBidi"/>
          <w:i/>
          <w:lang w:val="en-US"/>
        </w:rPr>
        <w:t>DC</w:t>
      </w:r>
      <w:r w:rsidR="000A6AAA">
        <w:rPr>
          <w:rFonts w:asciiTheme="minorHAnsi" w:eastAsiaTheme="minorHAnsi" w:hAnsiTheme="minorHAnsi" w:cstheme="minorBidi"/>
          <w:i/>
          <w:lang w:val="en-US"/>
        </w:rPr>
        <w:t>L</w:t>
      </w:r>
      <w:r w:rsidR="00950014" w:rsidRPr="00376E5B">
        <w:rPr>
          <w:rFonts w:asciiTheme="minorHAnsi" w:eastAsiaTheme="minorHAnsi" w:hAnsiTheme="minorHAnsi" w:cstheme="minorBidi"/>
          <w:lang w:val="en-US"/>
        </w:rPr>
        <w:t>)</w:t>
      </w:r>
      <w:r w:rsidR="00C34ED3">
        <w:rPr>
          <w:rFonts w:asciiTheme="minorHAnsi" w:eastAsiaTheme="minorHAnsi" w:hAnsiTheme="minorHAnsi" w:cstheme="minorBidi"/>
          <w:lang w:val="en-US"/>
        </w:rPr>
        <w:t xml:space="preserve"> </w:t>
      </w:r>
      <w:r w:rsidR="003666EA" w:rsidRPr="00376E5B">
        <w:rPr>
          <w:rFonts w:asciiTheme="minorHAnsi" w:eastAsiaTheme="minorHAnsi" w:hAnsiTheme="minorHAnsi" w:cstheme="minorBidi"/>
          <w:lang w:val="en-US"/>
        </w:rPr>
        <w:t>is also considered</w:t>
      </w:r>
      <w:r w:rsidR="00634E75" w:rsidRPr="00376E5B">
        <w:rPr>
          <w:rFonts w:asciiTheme="minorHAnsi" w:eastAsiaTheme="minorHAnsi" w:hAnsiTheme="minorHAnsi" w:cstheme="minorBidi"/>
          <w:lang w:val="en-US"/>
        </w:rPr>
        <w:t xml:space="preserve"> with </w:t>
      </w:r>
      <w:r w:rsidR="003841B7">
        <w:rPr>
          <w:rFonts w:asciiTheme="minorHAnsi" w:eastAsiaTheme="minorHAnsi" w:hAnsiTheme="minorHAnsi" w:cstheme="minorBidi"/>
          <w:lang w:val="en-US"/>
        </w:rPr>
        <w:t>mixed</w:t>
      </w:r>
      <w:r w:rsidR="0031284C" w:rsidRPr="00376E5B">
        <w:rPr>
          <w:rFonts w:asciiTheme="minorHAnsi" w:eastAsiaTheme="minorHAnsi" w:hAnsiTheme="minorHAnsi" w:cstheme="minorBidi"/>
          <w:lang w:val="en-US"/>
        </w:rPr>
        <w:t xml:space="preserve"> large and small</w:t>
      </w:r>
      <w:r w:rsidR="00343891" w:rsidRPr="00376E5B">
        <w:rPr>
          <w:rFonts w:asciiTheme="minorHAnsi" w:eastAsiaTheme="minorHAnsi" w:hAnsiTheme="minorHAnsi" w:cstheme="minorBidi"/>
          <w:lang w:val="en-US"/>
        </w:rPr>
        <w:t xml:space="preserve"> travel distances among supplier-customer pairs</w:t>
      </w:r>
      <w:bookmarkStart w:id="351" w:name="OLE_LINK169"/>
      <w:bookmarkStart w:id="352" w:name="OLE_LINK170"/>
      <w:bookmarkStart w:id="353" w:name="OLE_LINK171"/>
      <w:bookmarkStart w:id="354" w:name="OLE_LINK157"/>
      <w:bookmarkStart w:id="355" w:name="OLE_LINK158"/>
      <w:bookmarkStart w:id="356" w:name="OLE_LINK159"/>
      <w:bookmarkStart w:id="357" w:name="OLE_LINK130"/>
      <w:bookmarkStart w:id="358" w:name="OLE_LINK131"/>
      <w:bookmarkEnd w:id="342"/>
      <w:bookmarkEnd w:id="348"/>
      <w:bookmarkEnd w:id="349"/>
      <w:bookmarkEnd w:id="350"/>
      <w:r w:rsidR="00950014" w:rsidRPr="00376E5B">
        <w:rPr>
          <w:rFonts w:asciiTheme="minorHAnsi" w:eastAsiaTheme="minorHAnsi" w:hAnsiTheme="minorHAnsi" w:cstheme="minorBidi"/>
          <w:lang w:val="en-US"/>
        </w:rPr>
        <w:t xml:space="preserve">. </w:t>
      </w:r>
      <w:r w:rsidR="00992DDF" w:rsidRPr="00376E5B">
        <w:rPr>
          <w:rFonts w:asciiTheme="minorHAnsi" w:eastAsiaTheme="minorHAnsi" w:hAnsiTheme="minorHAnsi" w:cstheme="minorBidi"/>
          <w:lang w:val="en-US"/>
        </w:rPr>
        <w:t>We introduce the Pairing I</w:t>
      </w:r>
      <w:bookmarkStart w:id="359" w:name="OLE_LINK172"/>
      <w:bookmarkStart w:id="360" w:name="OLE_LINK173"/>
      <w:bookmarkStart w:id="361" w:name="OLE_LINK174"/>
      <w:bookmarkStart w:id="362" w:name="OLE_LINK175"/>
      <w:bookmarkStart w:id="363" w:name="OLE_LINK176"/>
      <w:r w:rsidR="00992DDF" w:rsidRPr="00376E5B">
        <w:rPr>
          <w:rFonts w:asciiTheme="minorHAnsi" w:eastAsiaTheme="minorHAnsi" w:hAnsiTheme="minorHAnsi" w:cstheme="minorBidi"/>
          <w:lang w:val="en-US"/>
        </w:rPr>
        <w:t xml:space="preserve">ndex </w:t>
      </w:r>
      <w:bookmarkEnd w:id="359"/>
      <w:bookmarkEnd w:id="360"/>
      <w:bookmarkEnd w:id="361"/>
      <w:bookmarkEnd w:id="362"/>
      <w:bookmarkEnd w:id="363"/>
      <w:r w:rsidR="00992DDF" w:rsidRPr="00376E5B">
        <w:rPr>
          <w:rFonts w:asciiTheme="minorHAnsi" w:eastAsiaTheme="minorHAnsi" w:hAnsiTheme="minorHAnsi" w:cstheme="minorBidi"/>
          <w:lang w:val="en-US"/>
        </w:rPr>
        <w:t>factor</w:t>
      </w:r>
      <w:r w:rsidR="00C34ED3">
        <w:rPr>
          <w:rFonts w:asciiTheme="minorHAnsi" w:eastAsiaTheme="minorHAnsi" w:hAnsiTheme="minorHAnsi" w:cstheme="minorBidi"/>
          <w:lang w:val="en-US"/>
        </w:rPr>
        <w:t xml:space="preserve"> </w:t>
      </w:r>
      <w:r w:rsidR="00992DDF" w:rsidRPr="00376E5B">
        <w:rPr>
          <w:rFonts w:asciiTheme="minorHAnsi" w:hAnsiTheme="minorHAnsi"/>
          <w:i/>
          <w:lang w:val="en-US"/>
        </w:rPr>
        <w:t>PI</w:t>
      </w:r>
      <w:r w:rsidR="00992DDF" w:rsidRPr="00376E5B">
        <w:rPr>
          <w:rFonts w:asciiTheme="minorHAnsi" w:hAnsiTheme="minorHAnsi"/>
          <w:lang w:val="en-US"/>
        </w:rPr>
        <w:t xml:space="preserve"> as a measure of t</w:t>
      </w:r>
      <w:r w:rsidR="00871D15" w:rsidRPr="00376E5B">
        <w:rPr>
          <w:rFonts w:asciiTheme="minorHAnsi" w:hAnsiTheme="minorHAnsi"/>
          <w:lang w:val="en-US"/>
        </w:rPr>
        <w:t>he proximity</w:t>
      </w:r>
      <w:r w:rsidR="008B4FD0" w:rsidRPr="00376E5B">
        <w:rPr>
          <w:rFonts w:asciiTheme="minorHAnsi" w:eastAsiaTheme="minorHAnsi" w:hAnsiTheme="minorHAnsi" w:cstheme="minorBidi"/>
          <w:lang w:val="en-US"/>
        </w:rPr>
        <w:t xml:space="preserve"> of </w:t>
      </w:r>
      <w:r w:rsidR="00992DDF" w:rsidRPr="00376E5B">
        <w:rPr>
          <w:rFonts w:asciiTheme="minorHAnsi" w:eastAsiaTheme="minorHAnsi" w:hAnsiTheme="minorHAnsi" w:cstheme="minorBidi"/>
          <w:lang w:val="en-US"/>
        </w:rPr>
        <w:t xml:space="preserve">the </w:t>
      </w:r>
      <w:r w:rsidR="00DD00D4" w:rsidRPr="00376E5B">
        <w:rPr>
          <w:rFonts w:asciiTheme="minorHAnsi" w:eastAsiaTheme="minorHAnsi" w:hAnsiTheme="minorHAnsi" w:cstheme="minorBidi"/>
          <w:lang w:val="en-US"/>
        </w:rPr>
        <w:lastRenderedPageBreak/>
        <w:t xml:space="preserve">supplier-customer </w:t>
      </w:r>
      <w:r w:rsidR="004C40A8" w:rsidRPr="00376E5B">
        <w:rPr>
          <w:rFonts w:asciiTheme="minorHAnsi" w:eastAsiaTheme="minorHAnsi" w:hAnsiTheme="minorHAnsi" w:cstheme="minorBidi"/>
          <w:lang w:val="en-US"/>
        </w:rPr>
        <w:t>pairs</w:t>
      </w:r>
      <w:bookmarkStart w:id="364" w:name="OLE_LINK334"/>
      <w:bookmarkStart w:id="365" w:name="OLE_LINK335"/>
      <w:bookmarkStart w:id="366" w:name="OLE_LINK343"/>
      <w:r w:rsidR="00992DDF" w:rsidRPr="00376E5B">
        <w:rPr>
          <w:rFonts w:asciiTheme="minorHAnsi" w:eastAsiaTheme="minorHAnsi" w:hAnsiTheme="minorHAnsi" w:cstheme="minorBidi"/>
          <w:lang w:val="en-US"/>
        </w:rPr>
        <w:t xml:space="preserve">. </w:t>
      </w:r>
      <w:r w:rsidR="00992DDF" w:rsidRPr="00376E5B">
        <w:rPr>
          <w:rFonts w:asciiTheme="minorHAnsi" w:eastAsiaTheme="minorHAnsi" w:hAnsiTheme="minorHAnsi" w:cstheme="minorBidi"/>
          <w:i/>
          <w:lang w:val="en-US"/>
        </w:rPr>
        <w:t>PI</w:t>
      </w:r>
      <w:r w:rsidR="00992DDF" w:rsidRPr="00376E5B">
        <w:rPr>
          <w:rFonts w:asciiTheme="minorHAnsi" w:eastAsiaTheme="minorHAnsi" w:hAnsiTheme="minorHAnsi" w:cstheme="minorBidi"/>
          <w:lang w:val="en-US"/>
        </w:rPr>
        <w:t xml:space="preserve"> is </w:t>
      </w:r>
      <w:r w:rsidR="00992DDF" w:rsidRPr="00303F6A">
        <w:rPr>
          <w:rFonts w:asciiTheme="minorHAnsi" w:eastAsiaTheme="minorHAnsi" w:hAnsiTheme="minorHAnsi" w:cstheme="minorBidi"/>
          <w:lang w:val="en-US"/>
        </w:rPr>
        <w:t xml:space="preserve">calculated </w:t>
      </w:r>
      <w:r w:rsidR="00FB0A70">
        <w:rPr>
          <w:rFonts w:asciiTheme="minorHAnsi" w:hAnsiTheme="minorHAnsi"/>
          <w:lang w:val="en-US"/>
        </w:rPr>
        <w:t>as</w:t>
      </w:r>
      <w:r w:rsidR="00C65C00" w:rsidRPr="00303F6A">
        <w:rPr>
          <w:rFonts w:asciiTheme="minorHAnsi" w:hAnsiTheme="minorHAnsi"/>
          <w:lang w:val="en-US"/>
        </w:rPr>
        <w:t xml:space="preserve"> the ratio</w:t>
      </w:r>
      <w:r w:rsidR="00C65C00" w:rsidRPr="00303F6A">
        <w:rPr>
          <w:rFonts w:asciiTheme="minorHAnsi" w:eastAsiaTheme="minorEastAsia" w:hAnsiTheme="minorHAnsi"/>
          <w:lang w:val="en-US"/>
        </w:rPr>
        <w:t xml:space="preserve"> </w:t>
      </w:r>
      <m:oMath>
        <m:sSub>
          <m:sSubPr>
            <m:ctrlPr>
              <w:rPr>
                <w:rFonts w:ascii="Cambria Math" w:hAnsiTheme="minorHAnsi"/>
                <w:i/>
                <w:lang w:val="en-US"/>
              </w:rPr>
            </m:ctrlPr>
          </m:sSubPr>
          <m:e>
            <m:r>
              <w:rPr>
                <w:rFonts w:ascii="Cambria Math" w:hAnsi="Cambria Math"/>
                <w:lang w:val="en-US"/>
              </w:rPr>
              <m:t>d</m:t>
            </m:r>
          </m:e>
          <m:sub>
            <m:r>
              <w:rPr>
                <w:rFonts w:ascii="Cambria Math" w:hAnsi="Cambria Math"/>
                <w:lang w:val="en-US"/>
              </w:rPr>
              <m:t>pair</m:t>
            </m:r>
          </m:sub>
        </m:sSub>
      </m:oMath>
      <w:r w:rsidR="00C65C00" w:rsidRPr="00303F6A">
        <w:rPr>
          <w:rFonts w:asciiTheme="minorHAnsi" w:eastAsiaTheme="minorEastAsia" w:hAnsiTheme="minorHAnsi"/>
          <w:lang w:val="en-US"/>
        </w:rPr>
        <w:t xml:space="preserve"> /</w:t>
      </w:r>
      <m:oMath>
        <m:sSub>
          <m:sSubPr>
            <m:ctrlPr>
              <w:rPr>
                <w:rFonts w:ascii="Cambria Math" w:hAnsiTheme="minorHAnsi"/>
                <w:i/>
                <w:lang w:val="en-US"/>
              </w:rPr>
            </m:ctrlPr>
          </m:sSubPr>
          <m:e>
            <m:r>
              <w:rPr>
                <w:rFonts w:ascii="Cambria Math" w:hAnsiTheme="minorHAnsi"/>
                <w:lang w:val="en-US"/>
              </w:rPr>
              <m:t xml:space="preserve"> </m:t>
            </m:r>
            <m:r>
              <w:rPr>
                <w:rFonts w:ascii="Cambria Math" w:hAnsi="Cambria Math"/>
                <w:lang w:val="en-US"/>
              </w:rPr>
              <m:t>d</m:t>
            </m:r>
          </m:e>
          <m:sub>
            <m:r>
              <w:rPr>
                <w:rFonts w:ascii="Cambria Math" w:hAnsi="Cambria Math"/>
                <w:lang w:val="en-US"/>
              </w:rPr>
              <m:t>avg</m:t>
            </m:r>
          </m:sub>
        </m:sSub>
      </m:oMath>
      <w:r w:rsidR="00C65C00" w:rsidRPr="00303F6A">
        <w:rPr>
          <w:rFonts w:asciiTheme="minorHAnsi" w:hAnsiTheme="minorHAnsi"/>
          <w:lang w:val="en-US"/>
        </w:rPr>
        <w:t>,</w:t>
      </w:r>
      <w:r w:rsidR="00992DDF" w:rsidRPr="00303F6A">
        <w:rPr>
          <w:rFonts w:asciiTheme="minorHAnsi" w:eastAsiaTheme="minorEastAsia" w:hAnsiTheme="minorHAnsi" w:cstheme="minorBidi"/>
          <w:lang w:val="en-US"/>
        </w:rPr>
        <w:t xml:space="preserve"> </w:t>
      </w:r>
      <w:bookmarkStart w:id="367" w:name="OLE_LINK399"/>
      <w:bookmarkStart w:id="368" w:name="OLE_LINK400"/>
      <w:bookmarkEnd w:id="364"/>
      <w:bookmarkEnd w:id="365"/>
      <w:bookmarkEnd w:id="366"/>
      <w:r w:rsidR="006741A4" w:rsidRPr="00303F6A">
        <w:rPr>
          <w:rFonts w:asciiTheme="minorHAnsi" w:hAnsiTheme="minorHAnsi"/>
          <w:lang w:val="en-US"/>
        </w:rPr>
        <w:t xml:space="preserve">where </w:t>
      </w:r>
      <w:proofErr w:type="spellStart"/>
      <w:r w:rsidR="006741A4" w:rsidRPr="00303F6A">
        <w:rPr>
          <w:rFonts w:asciiTheme="minorHAnsi" w:eastAsiaTheme="minorEastAsia" w:hAnsiTheme="minorHAnsi"/>
          <w:i/>
          <w:lang w:val="en-US"/>
        </w:rPr>
        <w:t>d</w:t>
      </w:r>
      <w:r w:rsidR="00C65C00" w:rsidRPr="00303F6A">
        <w:rPr>
          <w:rFonts w:asciiTheme="minorHAnsi" w:eastAsiaTheme="minorEastAsia" w:hAnsiTheme="minorHAnsi"/>
          <w:i/>
          <w:vertAlign w:val="subscript"/>
          <w:lang w:val="en-US"/>
        </w:rPr>
        <w:t>p</w:t>
      </w:r>
      <w:r w:rsidR="006741A4" w:rsidRPr="00303F6A">
        <w:rPr>
          <w:rFonts w:asciiTheme="minorHAnsi" w:eastAsiaTheme="minorEastAsia" w:hAnsiTheme="minorHAnsi"/>
          <w:i/>
          <w:vertAlign w:val="subscript"/>
          <w:lang w:val="en-US"/>
        </w:rPr>
        <w:t>air</w:t>
      </w:r>
      <w:proofErr w:type="spellEnd"/>
      <w:r w:rsidR="006741A4" w:rsidRPr="00303F6A">
        <w:rPr>
          <w:rFonts w:asciiTheme="minorHAnsi" w:eastAsiaTheme="minorEastAsia" w:hAnsiTheme="minorHAnsi"/>
          <w:lang w:val="en-US"/>
        </w:rPr>
        <w:t xml:space="preserve"> is </w:t>
      </w:r>
      <w:r w:rsidR="006741A4" w:rsidRPr="00303F6A">
        <w:rPr>
          <w:rFonts w:asciiTheme="minorHAnsi" w:hAnsiTheme="minorHAnsi"/>
          <w:lang w:val="en-US"/>
        </w:rPr>
        <w:t xml:space="preserve">the </w:t>
      </w:r>
      <w:bookmarkStart w:id="369" w:name="OLE_LINK501"/>
      <w:bookmarkStart w:id="370" w:name="OLE_LINK502"/>
      <w:bookmarkStart w:id="371" w:name="OLE_LINK503"/>
      <w:bookmarkStart w:id="372" w:name="OLE_LINK393"/>
      <w:bookmarkStart w:id="373" w:name="OLE_LINK394"/>
      <w:r w:rsidR="006741A4" w:rsidRPr="00303F6A">
        <w:rPr>
          <w:rFonts w:asciiTheme="minorHAnsi" w:hAnsiTheme="minorHAnsi"/>
          <w:lang w:val="en-US"/>
        </w:rPr>
        <w:t xml:space="preserve">average </w:t>
      </w:r>
      <w:bookmarkEnd w:id="369"/>
      <w:bookmarkEnd w:id="370"/>
      <w:bookmarkEnd w:id="371"/>
      <w:r w:rsidR="006741A4" w:rsidRPr="00303F6A">
        <w:rPr>
          <w:rFonts w:asciiTheme="minorHAnsi" w:hAnsiTheme="minorHAnsi"/>
          <w:lang w:val="en-US"/>
        </w:rPr>
        <w:t xml:space="preserve">distance of all supplier-customer </w:t>
      </w:r>
      <w:bookmarkEnd w:id="372"/>
      <w:bookmarkEnd w:id="373"/>
      <w:r w:rsidR="006741A4" w:rsidRPr="00303F6A">
        <w:rPr>
          <w:rFonts w:asciiTheme="minorHAnsi" w:hAnsiTheme="minorHAnsi"/>
          <w:lang w:val="en-US"/>
        </w:rPr>
        <w:t>pair</w:t>
      </w:r>
      <w:bookmarkStart w:id="374" w:name="OLE_LINK664"/>
      <w:bookmarkStart w:id="375" w:name="OLE_LINK761"/>
      <w:bookmarkEnd w:id="367"/>
      <w:bookmarkEnd w:id="368"/>
      <w:r w:rsidR="006741A4" w:rsidRPr="00303F6A">
        <w:rPr>
          <w:rFonts w:asciiTheme="minorHAnsi" w:hAnsiTheme="minorHAnsi"/>
          <w:lang w:val="en-US"/>
        </w:rPr>
        <w:t>s</w:t>
      </w:r>
      <w:bookmarkEnd w:id="374"/>
      <w:bookmarkEnd w:id="375"/>
      <w:r w:rsidR="00376E5B" w:rsidRPr="00303F6A">
        <w:rPr>
          <w:rFonts w:asciiTheme="minorHAnsi" w:hAnsiTheme="minorHAnsi"/>
          <w:lang w:val="en-US"/>
        </w:rPr>
        <w:t xml:space="preserve"> </w:t>
      </w:r>
      <w:r w:rsidR="00C65C00" w:rsidRPr="00303F6A">
        <w:rPr>
          <w:rFonts w:asciiTheme="minorHAnsi" w:hAnsiTheme="minorHAnsi"/>
          <w:lang w:val="en-US"/>
        </w:rPr>
        <w:t>and is given by</w:t>
      </w:r>
      <w:r w:rsidR="00C65C00" w:rsidRPr="00303F6A">
        <w:rPr>
          <w:rFonts w:asciiTheme="minorHAnsi" w:hAnsiTheme="minorHAnsi"/>
        </w:rPr>
        <w:t xml:space="preserve"> </w:t>
      </w:r>
      <m:oMath>
        <m:sSub>
          <m:sSubPr>
            <m:ctrlPr>
              <w:rPr>
                <w:rFonts w:ascii="Cambria Math" w:hAnsiTheme="minorHAnsi"/>
                <w:i/>
              </w:rPr>
            </m:ctrlPr>
          </m:sSubPr>
          <m:e>
            <m:r>
              <w:rPr>
                <w:rFonts w:ascii="Cambria Math" w:hAnsi="Cambria Math"/>
              </w:rPr>
              <m:t>d</m:t>
            </m:r>
          </m:e>
          <m:sub>
            <m:r>
              <w:rPr>
                <w:rFonts w:ascii="Cambria Math" w:hAnsi="Cambria Math"/>
              </w:rPr>
              <m:t>pair</m:t>
            </m:r>
          </m:sub>
        </m:sSub>
        <m:r>
          <w:rPr>
            <w:rFonts w:ascii="Cambria Math" w:hAnsiTheme="minorHAnsi"/>
          </w:rPr>
          <m:t xml:space="preserve">= </m:t>
        </m:r>
        <m:f>
          <m:fPr>
            <m:type m:val="lin"/>
            <m:ctrlPr>
              <w:rPr>
                <w:rFonts w:ascii="Cambria Math" w:hAnsiTheme="minorHAnsi"/>
                <w:i/>
              </w:rPr>
            </m:ctrlPr>
          </m:fPr>
          <m:num>
            <m:nary>
              <m:naryPr>
                <m:chr m:val="∑"/>
                <m:limLoc m:val="undOvr"/>
                <m:supHide m:val="on"/>
                <m:ctrlPr>
                  <w:rPr>
                    <w:rFonts w:ascii="Cambria Math" w:hAnsiTheme="minorHAnsi"/>
                    <w:i/>
                  </w:rPr>
                </m:ctrlPr>
              </m:naryPr>
              <m:sub>
                <m:r>
                  <w:rPr>
                    <w:rFonts w:ascii="Cambria Math" w:hAnsi="Cambria Math"/>
                  </w:rPr>
                  <m:t>i</m:t>
                </m:r>
                <m:r>
                  <w:rPr>
                    <w:rFonts w:ascii="Cambria Math" w:hAnsiTheme="minorHAnsi"/>
                  </w:rPr>
                  <m:t xml:space="preserve"> </m:t>
                </m:r>
                <m:r>
                  <w:rPr>
                    <w:rFonts w:ascii="Cambria Math" w:hAnsi="Cambria Math"/>
                  </w:rPr>
                  <m:t>∈P∪D</m:t>
                </m:r>
              </m:sub>
              <m:sup/>
              <m:e>
                <m:sSub>
                  <m:sSubPr>
                    <m:ctrlPr>
                      <w:rPr>
                        <w:rFonts w:ascii="Cambria Math" w:hAnsiTheme="minorHAnsi"/>
                        <w:i/>
                      </w:rPr>
                    </m:ctrlPr>
                  </m:sSubPr>
                  <m:e>
                    <m:r>
                      <w:rPr>
                        <w:rFonts w:ascii="Cambria Math" w:hAnsi="Cambria Math"/>
                      </w:rPr>
                      <m:t>dp</m:t>
                    </m:r>
                  </m:e>
                  <m:sub>
                    <m:r>
                      <w:rPr>
                        <w:rFonts w:ascii="Cambria Math" w:hAnsi="Cambria Math"/>
                      </w:rPr>
                      <m:t>ij</m:t>
                    </m:r>
                  </m:sub>
                </m:sSub>
              </m:e>
            </m:nary>
          </m:num>
          <m:den>
            <m:r>
              <w:rPr>
                <w:rFonts w:ascii="Cambria Math" w:hAnsiTheme="minorHAnsi"/>
              </w:rPr>
              <m:t>(2</m:t>
            </m:r>
            <m:r>
              <w:rPr>
                <w:rFonts w:ascii="Cambria Math" w:hAnsiTheme="minorHAnsi"/>
              </w:rPr>
              <m:t>∙</m:t>
            </m:r>
            <m:r>
              <w:rPr>
                <w:rFonts w:ascii="Cambria Math" w:hAnsi="Cambria Math"/>
              </w:rPr>
              <m:t>n</m:t>
            </m:r>
          </m:den>
        </m:f>
        <m:r>
          <w:rPr>
            <w:rFonts w:ascii="Cambria Math" w:hAnsiTheme="minorHAnsi"/>
          </w:rPr>
          <m:t>)</m:t>
        </m:r>
      </m:oMath>
      <w:r w:rsidR="00FB0A70">
        <w:rPr>
          <w:rFonts w:asciiTheme="minorHAnsi" w:hAnsiTheme="minorHAnsi"/>
        </w:rPr>
        <w:t xml:space="preserve"> (note that </w:t>
      </w:r>
      <w:proofErr w:type="spellStart"/>
      <w:r w:rsidR="00C65C00" w:rsidRPr="00303F6A">
        <w:rPr>
          <w:rFonts w:asciiTheme="minorHAnsi" w:eastAsiaTheme="minorEastAsia" w:hAnsiTheme="minorHAnsi"/>
          <w:i/>
          <w:lang w:val="en-US"/>
        </w:rPr>
        <w:t>dp</w:t>
      </w:r>
      <w:r w:rsidR="00C65C00" w:rsidRPr="00303F6A">
        <w:rPr>
          <w:rFonts w:asciiTheme="minorHAnsi" w:eastAsiaTheme="minorEastAsia" w:hAnsiTheme="minorHAnsi"/>
          <w:i/>
          <w:vertAlign w:val="subscript"/>
          <w:lang w:val="en-US"/>
        </w:rPr>
        <w:t>ij</w:t>
      </w:r>
      <w:proofErr w:type="spellEnd"/>
      <w:r w:rsidR="00C65C00" w:rsidRPr="00303F6A">
        <w:rPr>
          <w:rFonts w:asciiTheme="minorHAnsi" w:eastAsiaTheme="minorEastAsia" w:hAnsiTheme="minorHAnsi"/>
          <w:lang w:val="en-US"/>
        </w:rPr>
        <w:t xml:space="preserve"> is the distance between a node </w:t>
      </w:r>
      <w:proofErr w:type="spellStart"/>
      <w:r w:rsidR="00C65C00" w:rsidRPr="00303F6A">
        <w:rPr>
          <w:rFonts w:asciiTheme="minorHAnsi" w:eastAsiaTheme="minorEastAsia" w:hAnsiTheme="minorHAnsi"/>
          <w:i/>
          <w:lang w:val="en-US"/>
        </w:rPr>
        <w:t>i</w:t>
      </w:r>
      <w:proofErr w:type="spellEnd"/>
      <w:r w:rsidR="00C65C00" w:rsidRPr="00303F6A">
        <w:rPr>
          <w:rFonts w:asciiTheme="minorHAnsi" w:eastAsiaTheme="minorEastAsia" w:hAnsiTheme="minorHAnsi"/>
          <w:lang w:val="en-US"/>
        </w:rPr>
        <w:t xml:space="preserve"> and its corresponding pair </w:t>
      </w:r>
      <w:r w:rsidR="00C65C00" w:rsidRPr="00303F6A">
        <w:rPr>
          <w:rFonts w:asciiTheme="minorHAnsi" w:eastAsiaTheme="minorEastAsia" w:hAnsiTheme="minorHAnsi"/>
          <w:i/>
          <w:lang w:val="en-US"/>
        </w:rPr>
        <w:t>j</w:t>
      </w:r>
      <w:r w:rsidR="00FB0A70">
        <w:rPr>
          <w:rFonts w:asciiTheme="minorHAnsi" w:eastAsiaTheme="minorEastAsia" w:hAnsiTheme="minorHAnsi"/>
          <w:i/>
          <w:lang w:val="en-US"/>
        </w:rPr>
        <w:t>)</w:t>
      </w:r>
      <w:r w:rsidR="00C65C00" w:rsidRPr="00303F6A">
        <w:rPr>
          <w:rFonts w:asciiTheme="minorHAnsi" w:eastAsiaTheme="minorEastAsia" w:hAnsiTheme="minorHAnsi"/>
          <w:lang w:val="en-US"/>
        </w:rPr>
        <w:t>,</w:t>
      </w:r>
      <w:r w:rsidR="00FB0A70">
        <w:rPr>
          <w:rFonts w:asciiTheme="minorHAnsi" w:eastAsiaTheme="minorEastAsia" w:hAnsiTheme="minorHAnsi"/>
          <w:lang w:val="en-US"/>
        </w:rPr>
        <w:t xml:space="preserve"> </w:t>
      </w:r>
      <w:proofErr w:type="gramStart"/>
      <w:r w:rsidR="00FB0A70">
        <w:rPr>
          <w:rFonts w:asciiTheme="minorHAnsi" w:eastAsiaTheme="minorEastAsia" w:hAnsiTheme="minorHAnsi"/>
          <w:lang w:val="en-US"/>
        </w:rPr>
        <w:t>and</w:t>
      </w:r>
      <w:r w:rsidR="00C65C00" w:rsidRPr="000E7D45">
        <w:rPr>
          <w:rFonts w:asciiTheme="minorHAnsi" w:eastAsiaTheme="minorEastAsia" w:hAnsiTheme="minorHAnsi"/>
          <w:lang w:val="en-US"/>
        </w:rPr>
        <w:t xml:space="preserve">  </w:t>
      </w:r>
      <w:proofErr w:type="spellStart"/>
      <w:r w:rsidR="00C65C00" w:rsidRPr="000E7D45">
        <w:rPr>
          <w:rFonts w:asciiTheme="minorHAnsi" w:eastAsiaTheme="minorEastAsia" w:hAnsiTheme="minorHAnsi" w:cstheme="minorBidi"/>
          <w:i/>
          <w:lang w:val="en-US"/>
        </w:rPr>
        <w:t>d</w:t>
      </w:r>
      <w:r w:rsidR="00C65C00" w:rsidRPr="000E7D45">
        <w:rPr>
          <w:rFonts w:asciiTheme="minorHAnsi" w:eastAsiaTheme="minorEastAsia" w:hAnsiTheme="minorHAnsi" w:cstheme="minorBidi"/>
          <w:i/>
          <w:vertAlign w:val="subscript"/>
          <w:lang w:val="en-US"/>
        </w:rPr>
        <w:t>avg</w:t>
      </w:r>
      <w:proofErr w:type="spellEnd"/>
      <w:proofErr w:type="gramEnd"/>
      <w:r w:rsidR="00C65C00" w:rsidRPr="000E7D45">
        <w:rPr>
          <w:rFonts w:asciiTheme="minorHAnsi" w:eastAsiaTheme="minorEastAsia" w:hAnsiTheme="minorHAnsi" w:cstheme="minorBidi"/>
          <w:lang w:val="en-US"/>
        </w:rPr>
        <w:t xml:space="preserve"> is the </w:t>
      </w:r>
      <w:r w:rsidR="00C65C00" w:rsidRPr="000E7D45">
        <w:rPr>
          <w:rFonts w:asciiTheme="minorHAnsi" w:eastAsiaTheme="minorHAnsi" w:hAnsiTheme="minorHAnsi" w:cstheme="minorBidi"/>
          <w:lang w:val="en-US"/>
        </w:rPr>
        <w:t xml:space="preserve">average </w:t>
      </w:r>
      <w:r w:rsidR="00C65C00" w:rsidRPr="000E7D45">
        <w:rPr>
          <w:rFonts w:asciiTheme="minorHAnsi" w:eastAsiaTheme="minorEastAsia" w:hAnsiTheme="minorHAnsi" w:cstheme="minorBidi"/>
          <w:lang w:val="en-US"/>
        </w:rPr>
        <w:t xml:space="preserve">distance of a node to all others. </w:t>
      </w:r>
      <w:r w:rsidR="00FB0A70">
        <w:rPr>
          <w:rFonts w:asciiTheme="minorHAnsi" w:eastAsiaTheme="minorEastAsia" w:hAnsiTheme="minorHAnsi" w:cstheme="minorBidi"/>
          <w:lang w:val="en-US"/>
        </w:rPr>
        <w:t xml:space="preserve">The latter </w:t>
      </w:r>
      <w:r w:rsidR="00C65C00" w:rsidRPr="000E7D45">
        <w:rPr>
          <w:rFonts w:asciiTheme="minorHAnsi" w:eastAsiaTheme="minorEastAsia" w:hAnsiTheme="minorHAnsi" w:cstheme="minorBidi"/>
          <w:lang w:val="en-US"/>
        </w:rPr>
        <w:t xml:space="preserve">is calculated </w:t>
      </w:r>
      <w:proofErr w:type="gramStart"/>
      <w:r w:rsidR="00C65C00" w:rsidRPr="000E7D45">
        <w:rPr>
          <w:rFonts w:asciiTheme="minorHAnsi" w:eastAsiaTheme="minorEastAsia" w:hAnsiTheme="minorHAnsi" w:cstheme="minorBidi"/>
          <w:lang w:val="en-US"/>
        </w:rPr>
        <w:t xml:space="preserve">as </w:t>
      </w:r>
      <m:oMath>
        <w:proofErr w:type="gramEnd"/>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avg</m:t>
            </m:r>
          </m:sub>
        </m:sSub>
        <m:r>
          <w:rPr>
            <w:rFonts w:ascii="Cambria Math" w:hAnsi="Cambria Math"/>
            <w:lang w:val="en-US"/>
          </w:rPr>
          <m:t xml:space="preserve">= </m:t>
        </m:r>
        <m:f>
          <m:fPr>
            <m:type m:val="lin"/>
            <m:ctrlPr>
              <w:rPr>
                <w:rFonts w:ascii="Cambria Math" w:hAnsi="Cambria Math"/>
                <w:i/>
                <w:lang w:val="en-US"/>
              </w:rPr>
            </m:ctrlPr>
          </m:fPr>
          <m:num>
            <m:nary>
              <m:naryPr>
                <m:chr m:val="∑"/>
                <m:limLoc m:val="undOvr"/>
                <m:supHide m:val="on"/>
                <m:ctrlPr>
                  <w:rPr>
                    <w:rFonts w:ascii="Cambria Math" w:hAnsi="Cambria Math"/>
                    <w:i/>
                    <w:lang w:val="en-US"/>
                  </w:rPr>
                </m:ctrlPr>
              </m:naryPr>
              <m:sub>
                <m:r>
                  <w:rPr>
                    <w:rFonts w:ascii="Cambria Math" w:hAnsi="Cambria Math"/>
                    <w:lang w:val="en-US"/>
                  </w:rPr>
                  <m:t>i ∈P∪D</m:t>
                </m:r>
              </m:sub>
              <m:sup/>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e>
            </m:nary>
          </m:num>
          <m:den>
            <m:r>
              <w:rPr>
                <w:rFonts w:ascii="Cambria Math" w:hAnsi="Cambria Math"/>
                <w:lang w:val="en-US"/>
              </w:rPr>
              <m:t>(2∙n)</m:t>
            </m:r>
          </m:den>
        </m:f>
      </m:oMath>
      <w:r w:rsidR="00132CEF" w:rsidRPr="000E7D45">
        <w:rPr>
          <w:rFonts w:asciiTheme="minorHAnsi" w:eastAsiaTheme="minorEastAsia" w:hAnsiTheme="minorHAnsi" w:cstheme="minorBidi"/>
          <w:lang w:val="en-US"/>
        </w:rPr>
        <w:t>.</w:t>
      </w:r>
      <w:r w:rsidR="00132CEF" w:rsidRPr="000E7D45">
        <w:rPr>
          <w:lang w:val="en-US"/>
        </w:rPr>
        <w:t xml:space="preserve"> </w:t>
      </w:r>
      <w:r w:rsidR="00043DAD" w:rsidRPr="000E7D45">
        <w:rPr>
          <w:rFonts w:asciiTheme="minorHAnsi" w:eastAsiaTheme="minorEastAsia" w:hAnsiTheme="minorHAnsi"/>
          <w:lang w:val="en-US"/>
        </w:rPr>
        <w:t xml:space="preserve">Given the </w:t>
      </w:r>
      <w:r w:rsidR="00FB0A70">
        <w:rPr>
          <w:rFonts w:asciiTheme="minorHAnsi" w:eastAsiaTheme="minorEastAsia" w:hAnsiTheme="minorHAnsi"/>
          <w:lang w:val="en-US"/>
        </w:rPr>
        <w:t xml:space="preserve">above </w:t>
      </w:r>
      <w:r w:rsidR="00043DAD" w:rsidRPr="000E7D45">
        <w:rPr>
          <w:rFonts w:asciiTheme="minorHAnsi" w:eastAsiaTheme="minorEastAsia" w:hAnsiTheme="minorHAnsi"/>
          <w:i/>
          <w:lang w:val="en-US"/>
        </w:rPr>
        <w:t>PI</w:t>
      </w:r>
      <w:r w:rsidR="00FB0A70">
        <w:rPr>
          <w:rFonts w:asciiTheme="minorHAnsi" w:eastAsiaTheme="minorEastAsia" w:hAnsiTheme="minorHAnsi"/>
          <w:lang w:val="en-US"/>
        </w:rPr>
        <w:t xml:space="preserve"> definition</w:t>
      </w:r>
      <w:r w:rsidR="00043DAD" w:rsidRPr="000E7D45">
        <w:rPr>
          <w:rFonts w:asciiTheme="minorHAnsi" w:eastAsiaTheme="minorEastAsia" w:hAnsiTheme="minorHAnsi"/>
          <w:lang w:val="en-US"/>
        </w:rPr>
        <w:t xml:space="preserve">, </w:t>
      </w:r>
      <w:r w:rsidR="00043DAD" w:rsidRPr="000E7D45">
        <w:rPr>
          <w:rFonts w:asciiTheme="minorHAnsi" w:hAnsiTheme="minorHAnsi"/>
          <w:lang w:val="en-US"/>
        </w:rPr>
        <w:t>v</w:t>
      </w:r>
      <w:r w:rsidR="00343891" w:rsidRPr="000E7D45">
        <w:rPr>
          <w:rFonts w:asciiTheme="minorHAnsi" w:hAnsiTheme="minorHAnsi"/>
          <w:lang w:val="en-US"/>
        </w:rPr>
        <w:t xml:space="preserve">alues of </w:t>
      </w:r>
      <w:r w:rsidR="00343891" w:rsidRPr="000E7D45">
        <w:rPr>
          <w:rFonts w:asciiTheme="minorHAnsi" w:hAnsiTheme="minorHAnsi"/>
          <w:i/>
          <w:lang w:val="en-US"/>
        </w:rPr>
        <w:t>PI</w:t>
      </w:r>
      <w:r w:rsidR="00FB0A70">
        <w:rPr>
          <w:rFonts w:asciiTheme="minorHAnsi" w:hAnsiTheme="minorHAnsi"/>
          <w:lang w:val="en-US"/>
        </w:rPr>
        <w:t xml:space="preserve"> greater than 1</w:t>
      </w:r>
      <w:r w:rsidR="00343891" w:rsidRPr="000E7D45">
        <w:rPr>
          <w:rFonts w:asciiTheme="minorHAnsi" w:hAnsiTheme="minorHAnsi"/>
          <w:lang w:val="en-US"/>
        </w:rPr>
        <w:t>,</w:t>
      </w:r>
      <w:bookmarkEnd w:id="351"/>
      <w:bookmarkEnd w:id="352"/>
      <w:bookmarkEnd w:id="353"/>
      <w:r w:rsidR="00343891" w:rsidRPr="000E7D45">
        <w:rPr>
          <w:rFonts w:asciiTheme="minorHAnsi" w:hAnsiTheme="minorHAnsi"/>
          <w:lang w:val="en-US"/>
        </w:rPr>
        <w:t xml:space="preserve"> indicate large travel cost distances </w:t>
      </w:r>
      <w:r w:rsidR="00D128C8" w:rsidRPr="000E7D45">
        <w:rPr>
          <w:rFonts w:asciiTheme="minorHAnsi" w:hAnsiTheme="minorHAnsi"/>
          <w:lang w:val="en-US"/>
        </w:rPr>
        <w:t>between</w:t>
      </w:r>
      <w:r w:rsidR="00343891" w:rsidRPr="000E7D45">
        <w:rPr>
          <w:rFonts w:asciiTheme="minorHAnsi" w:hAnsiTheme="minorHAnsi"/>
          <w:lang w:val="en-US"/>
        </w:rPr>
        <w:t xml:space="preserve"> pairs</w:t>
      </w:r>
      <w:bookmarkEnd w:id="354"/>
      <w:bookmarkEnd w:id="355"/>
      <w:bookmarkEnd w:id="356"/>
      <w:r w:rsidR="00376E5B" w:rsidRPr="000E7D45">
        <w:rPr>
          <w:rFonts w:asciiTheme="minorHAnsi" w:hAnsiTheme="minorHAnsi"/>
          <w:lang w:val="en-US"/>
        </w:rPr>
        <w:t xml:space="preserve">, </w:t>
      </w:r>
      <w:r w:rsidR="00343891" w:rsidRPr="000E7D45">
        <w:rPr>
          <w:rFonts w:asciiTheme="minorHAnsi" w:hAnsiTheme="minorHAnsi"/>
          <w:lang w:val="en-US"/>
        </w:rPr>
        <w:t xml:space="preserve">while values of </w:t>
      </w:r>
      <w:r w:rsidR="00343891" w:rsidRPr="000E7D45">
        <w:rPr>
          <w:rFonts w:asciiTheme="minorHAnsi" w:hAnsiTheme="minorHAnsi"/>
          <w:i/>
          <w:lang w:val="en-US"/>
        </w:rPr>
        <w:t>PI</w:t>
      </w:r>
      <w:r w:rsidR="00343891" w:rsidRPr="000E7D45">
        <w:rPr>
          <w:rFonts w:asciiTheme="minorHAnsi" w:hAnsiTheme="minorHAnsi"/>
          <w:lang w:val="en-US"/>
        </w:rPr>
        <w:t xml:space="preserve"> less than </w:t>
      </w:r>
      <w:r w:rsidR="00FB0A70">
        <w:rPr>
          <w:rFonts w:asciiTheme="minorHAnsi" w:hAnsiTheme="minorHAnsi"/>
          <w:lang w:val="en-US"/>
        </w:rPr>
        <w:t>1,</w:t>
      </w:r>
      <w:r w:rsidR="00343891" w:rsidRPr="000E7D45">
        <w:rPr>
          <w:rFonts w:asciiTheme="minorHAnsi" w:hAnsiTheme="minorHAnsi"/>
          <w:lang w:val="en-US"/>
        </w:rPr>
        <w:t xml:space="preserve"> indicate small travel cost distances </w:t>
      </w:r>
      <w:r w:rsidR="00D128C8" w:rsidRPr="000E7D45">
        <w:rPr>
          <w:rFonts w:asciiTheme="minorHAnsi" w:hAnsiTheme="minorHAnsi"/>
          <w:lang w:val="en-US"/>
        </w:rPr>
        <w:t xml:space="preserve">between </w:t>
      </w:r>
      <w:r w:rsidR="00343891" w:rsidRPr="000E7D45">
        <w:rPr>
          <w:rFonts w:asciiTheme="minorHAnsi" w:hAnsiTheme="minorHAnsi"/>
          <w:lang w:val="en-US"/>
        </w:rPr>
        <w:t>pairs.</w:t>
      </w:r>
      <w:r w:rsidR="007E6A51" w:rsidRPr="000E7D45">
        <w:rPr>
          <w:rFonts w:asciiTheme="minorHAnsi" w:hAnsiTheme="minorHAnsi"/>
          <w:lang w:val="en-US"/>
        </w:rPr>
        <w:t xml:space="preserve"> </w:t>
      </w:r>
      <w:r w:rsidR="0053087D" w:rsidRPr="000E7D45">
        <w:rPr>
          <w:rFonts w:asciiTheme="minorHAnsi" w:eastAsiaTheme="minorHAnsi" w:hAnsiTheme="minorHAnsi" w:cstheme="minorBidi"/>
          <w:lang w:val="en-US"/>
        </w:rPr>
        <w:t xml:space="preserve">We consider all combinations of </w:t>
      </w:r>
      <w:r w:rsidR="004547F5">
        <w:rPr>
          <w:rFonts w:asciiTheme="minorHAnsi" w:eastAsiaTheme="minorHAnsi" w:hAnsiTheme="minorHAnsi" w:cstheme="minorBidi"/>
          <w:lang w:val="en-US"/>
        </w:rPr>
        <w:t xml:space="preserve">the </w:t>
      </w:r>
      <w:r w:rsidR="0053087D" w:rsidRPr="000E7D45">
        <w:rPr>
          <w:rFonts w:asciiTheme="minorHAnsi" w:eastAsiaTheme="minorHAnsi" w:hAnsiTheme="minorHAnsi" w:cstheme="minorBidi"/>
          <w:lang w:val="en-US"/>
        </w:rPr>
        <w:t xml:space="preserve">graph size, </w:t>
      </w:r>
      <w:r w:rsidR="004547F5">
        <w:rPr>
          <w:rFonts w:asciiTheme="minorHAnsi" w:eastAsiaTheme="minorHAnsi" w:hAnsiTheme="minorHAnsi" w:cstheme="minorBidi"/>
          <w:lang w:val="en-US"/>
        </w:rPr>
        <w:t xml:space="preserve">the </w:t>
      </w:r>
      <w:r w:rsidR="0053087D" w:rsidRPr="000E7D45">
        <w:rPr>
          <w:rFonts w:asciiTheme="minorHAnsi" w:eastAsiaTheme="minorHAnsi" w:hAnsiTheme="minorHAnsi" w:cstheme="minorBidi"/>
          <w:lang w:val="en-US"/>
        </w:rPr>
        <w:t xml:space="preserve">geographic </w:t>
      </w:r>
      <w:r w:rsidR="009E347D" w:rsidRPr="000E7D45">
        <w:rPr>
          <w:rFonts w:asciiTheme="minorHAnsi" w:eastAsiaTheme="minorHAnsi" w:hAnsiTheme="minorHAnsi" w:cstheme="minorBidi"/>
          <w:lang w:val="en-US"/>
        </w:rPr>
        <w:t>distribution</w:t>
      </w:r>
      <w:r w:rsidR="009E347D" w:rsidRPr="00B20A00">
        <w:rPr>
          <w:rFonts w:asciiTheme="minorHAnsi" w:eastAsiaTheme="minorHAnsi" w:hAnsiTheme="minorHAnsi" w:cstheme="minorBidi"/>
          <w:lang w:val="en-US"/>
        </w:rPr>
        <w:t xml:space="preserve"> class</w:t>
      </w:r>
      <w:r w:rsidR="004547F5">
        <w:rPr>
          <w:rFonts w:asciiTheme="minorHAnsi" w:eastAsiaTheme="minorHAnsi" w:hAnsiTheme="minorHAnsi" w:cstheme="minorBidi"/>
          <w:lang w:val="en-US"/>
        </w:rPr>
        <w:t>es</w:t>
      </w:r>
      <w:r w:rsidR="009E347D" w:rsidRPr="00B20A00">
        <w:rPr>
          <w:rFonts w:asciiTheme="minorHAnsi" w:eastAsiaTheme="minorHAnsi" w:hAnsiTheme="minorHAnsi" w:cstheme="minorBidi"/>
          <w:lang w:val="en-US"/>
        </w:rPr>
        <w:t xml:space="preserve"> and </w:t>
      </w:r>
      <w:r w:rsidR="004547F5">
        <w:rPr>
          <w:rFonts w:asciiTheme="minorHAnsi" w:eastAsiaTheme="minorHAnsi" w:hAnsiTheme="minorHAnsi" w:cstheme="minorBidi"/>
          <w:lang w:val="en-US"/>
        </w:rPr>
        <w:t xml:space="preserve">the </w:t>
      </w:r>
      <w:r w:rsidR="009E347D" w:rsidRPr="00B20A00">
        <w:rPr>
          <w:rFonts w:asciiTheme="minorHAnsi" w:eastAsiaTheme="minorHAnsi" w:hAnsiTheme="minorHAnsi" w:cstheme="minorBidi"/>
          <w:lang w:val="en-US"/>
        </w:rPr>
        <w:t>supplier</w:t>
      </w:r>
      <w:r w:rsidR="0053087D" w:rsidRPr="00B20A00">
        <w:rPr>
          <w:rFonts w:asciiTheme="minorHAnsi" w:eastAsiaTheme="minorHAnsi" w:hAnsiTheme="minorHAnsi" w:cstheme="minorBidi"/>
          <w:lang w:val="en-US"/>
        </w:rPr>
        <w:t>–customer proximity class</w:t>
      </w:r>
      <w:r w:rsidR="004547F5">
        <w:rPr>
          <w:rFonts w:asciiTheme="minorHAnsi" w:eastAsiaTheme="minorHAnsi" w:hAnsiTheme="minorHAnsi" w:cstheme="minorBidi"/>
          <w:lang w:val="en-US"/>
        </w:rPr>
        <w:t>es, and we defined</w:t>
      </w:r>
      <w:r w:rsidR="0053087D" w:rsidRPr="00B20A00">
        <w:rPr>
          <w:rFonts w:asciiTheme="minorHAnsi" w:eastAsiaTheme="minorHAnsi" w:hAnsiTheme="minorHAnsi" w:cstheme="minorBidi"/>
          <w:lang w:val="en-US"/>
        </w:rPr>
        <w:t xml:space="preserve"> </w:t>
      </w:r>
      <w:r w:rsidR="004547F5">
        <w:rPr>
          <w:rFonts w:asciiTheme="minorHAnsi" w:eastAsiaTheme="minorHAnsi" w:hAnsiTheme="minorHAnsi" w:cstheme="minorBidi"/>
          <w:lang w:val="en-US"/>
        </w:rPr>
        <w:t>a</w:t>
      </w:r>
      <w:r w:rsidR="0053087D" w:rsidRPr="00B20A00">
        <w:rPr>
          <w:rFonts w:asciiTheme="minorHAnsi" w:eastAsiaTheme="minorHAnsi" w:hAnsiTheme="minorHAnsi" w:cstheme="minorBidi"/>
          <w:lang w:val="en-US"/>
        </w:rPr>
        <w:t xml:space="preserve"> total </w:t>
      </w:r>
      <w:r w:rsidR="004547F5">
        <w:rPr>
          <w:rFonts w:asciiTheme="minorHAnsi" w:eastAsiaTheme="minorHAnsi" w:hAnsiTheme="minorHAnsi" w:cstheme="minorBidi"/>
          <w:lang w:val="en-US"/>
        </w:rPr>
        <w:t xml:space="preserve">of </w:t>
      </w:r>
      <w:r w:rsidR="0053087D" w:rsidRPr="00B20A00">
        <w:rPr>
          <w:rFonts w:asciiTheme="minorHAnsi" w:eastAsiaTheme="minorHAnsi" w:hAnsiTheme="minorHAnsi" w:cstheme="minorBidi"/>
          <w:lang w:val="en-US"/>
        </w:rPr>
        <w:t xml:space="preserve">36 graphs. </w:t>
      </w:r>
      <w:r w:rsidR="00ED3D50">
        <w:rPr>
          <w:rFonts w:asciiTheme="minorHAnsi" w:eastAsiaTheme="minorHAnsi" w:hAnsiTheme="minorHAnsi" w:cstheme="minorBidi"/>
          <w:lang w:val="en-US"/>
        </w:rPr>
        <w:t>In</w:t>
      </w:r>
      <w:r w:rsidR="0053087D" w:rsidRPr="00B20A00">
        <w:rPr>
          <w:rFonts w:asciiTheme="minorHAnsi" w:eastAsiaTheme="minorHAnsi" w:hAnsiTheme="minorHAnsi" w:cstheme="minorBidi"/>
          <w:lang w:val="en-US"/>
        </w:rPr>
        <w:t xml:space="preserve"> Table 3</w:t>
      </w:r>
      <w:r w:rsidR="00ED3D50">
        <w:rPr>
          <w:rFonts w:asciiTheme="minorHAnsi" w:eastAsiaTheme="minorHAnsi" w:hAnsiTheme="minorHAnsi" w:cstheme="minorBidi"/>
          <w:lang w:val="en-US"/>
        </w:rPr>
        <w:t xml:space="preserve">, </w:t>
      </w:r>
      <w:r w:rsidR="0053087D" w:rsidRPr="00B20A00">
        <w:rPr>
          <w:rFonts w:asciiTheme="minorHAnsi" w:eastAsiaTheme="minorHAnsi" w:hAnsiTheme="minorHAnsi" w:cstheme="minorBidi"/>
          <w:lang w:val="en-US"/>
        </w:rPr>
        <w:t xml:space="preserve">the corresponding </w:t>
      </w:r>
      <w:r w:rsidR="0053087D" w:rsidRPr="000A6AAA">
        <w:rPr>
          <w:rFonts w:asciiTheme="minorHAnsi" w:eastAsiaTheme="minorHAnsi" w:hAnsiTheme="minorHAnsi" w:cstheme="minorBidi"/>
          <w:i/>
          <w:lang w:val="en-US"/>
        </w:rPr>
        <w:t>NNI</w:t>
      </w:r>
      <w:r w:rsidR="0053087D" w:rsidRPr="00B20A00">
        <w:rPr>
          <w:rFonts w:asciiTheme="minorHAnsi" w:eastAsiaTheme="minorHAnsi" w:hAnsiTheme="minorHAnsi" w:cstheme="minorBidi"/>
          <w:lang w:val="en-US"/>
        </w:rPr>
        <w:t xml:space="preserve"> and </w:t>
      </w:r>
      <w:r w:rsidR="0053087D" w:rsidRPr="000A6AAA">
        <w:rPr>
          <w:rFonts w:asciiTheme="minorHAnsi" w:eastAsiaTheme="minorHAnsi" w:hAnsiTheme="minorHAnsi" w:cstheme="minorBidi"/>
          <w:i/>
          <w:lang w:val="en-US"/>
        </w:rPr>
        <w:t>PI</w:t>
      </w:r>
      <w:r w:rsidR="0053087D" w:rsidRPr="00B20A00">
        <w:rPr>
          <w:rFonts w:asciiTheme="minorHAnsi" w:eastAsiaTheme="minorHAnsi" w:hAnsiTheme="minorHAnsi" w:cstheme="minorBidi"/>
          <w:lang w:val="en-US"/>
        </w:rPr>
        <w:t xml:space="preserve"> values are provided.</w:t>
      </w:r>
    </w:p>
    <w:p w:rsidR="00BF1F6F" w:rsidRDefault="00BF1F6F" w:rsidP="00722A7F">
      <w:pPr>
        <w:pStyle w:val="ListParagraph"/>
        <w:tabs>
          <w:tab w:val="left" w:pos="720"/>
        </w:tabs>
        <w:ind w:left="0"/>
        <w:jc w:val="both"/>
        <w:rPr>
          <w:b/>
          <w:sz w:val="20"/>
        </w:rPr>
      </w:pPr>
      <w:bookmarkStart w:id="376" w:name="OLE_LINK317"/>
      <w:bookmarkStart w:id="377" w:name="OLE_LINK318"/>
      <w:bookmarkStart w:id="378" w:name="OLE_LINK319"/>
      <w:bookmarkStart w:id="379" w:name="OLE_LINK320"/>
      <w:bookmarkStart w:id="380" w:name="OLE_LINK685"/>
      <w:bookmarkStart w:id="381" w:name="OLE_LINK686"/>
      <w:bookmarkStart w:id="382" w:name="OLE_LINK687"/>
    </w:p>
    <w:p w:rsidR="0052673B" w:rsidRPr="007D3FD5" w:rsidRDefault="00BF1F6F" w:rsidP="00722A7F">
      <w:pPr>
        <w:pStyle w:val="ListParagraph"/>
        <w:tabs>
          <w:tab w:val="left" w:pos="720"/>
        </w:tabs>
        <w:ind w:left="0"/>
        <w:jc w:val="both"/>
        <w:rPr>
          <w:b/>
          <w:lang w:val="fr-FR"/>
        </w:rPr>
      </w:pPr>
      <w:proofErr w:type="gramStart"/>
      <w:r w:rsidRPr="000D129E">
        <w:rPr>
          <w:b/>
          <w:sz w:val="20"/>
        </w:rPr>
        <w:t>Table 3.</w:t>
      </w:r>
      <w:proofErr w:type="gramEnd"/>
      <w:r>
        <w:rPr>
          <w:b/>
          <w:sz w:val="20"/>
        </w:rPr>
        <w:t xml:space="preserve"> </w:t>
      </w:r>
      <w:r w:rsidRPr="00BD3852">
        <w:rPr>
          <w:sz w:val="20"/>
        </w:rPr>
        <w:t>Nearest Neighbor Index and Paring Index of the generated graphs in Data Set I</w:t>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
        <w:gridCol w:w="250"/>
        <w:gridCol w:w="1559"/>
        <w:gridCol w:w="1452"/>
        <w:gridCol w:w="1417"/>
        <w:gridCol w:w="284"/>
        <w:gridCol w:w="1417"/>
        <w:gridCol w:w="851"/>
        <w:gridCol w:w="1100"/>
      </w:tblGrid>
      <w:tr w:rsidR="000D129E" w:rsidRPr="00917E34" w:rsidTr="003D07CB">
        <w:tc>
          <w:tcPr>
            <w:tcW w:w="918" w:type="dxa"/>
            <w:tcBorders>
              <w:top w:val="single" w:sz="4" w:space="0" w:color="auto"/>
              <w:bottom w:val="single" w:sz="4" w:space="0" w:color="auto"/>
            </w:tcBorders>
          </w:tcPr>
          <w:p w:rsidR="000D129E" w:rsidRDefault="000D129E" w:rsidP="000D129E">
            <w:pPr>
              <w:pStyle w:val="ListParagraph"/>
              <w:tabs>
                <w:tab w:val="left" w:pos="720"/>
              </w:tabs>
              <w:ind w:left="0"/>
              <w:rPr>
                <w:sz w:val="20"/>
              </w:rPr>
            </w:pPr>
            <w:bookmarkStart w:id="383" w:name="OLE_LINK361"/>
            <w:bookmarkStart w:id="384" w:name="OLE_LINK362"/>
            <w:bookmarkStart w:id="385" w:name="OLE_LINK363"/>
            <w:r>
              <w:rPr>
                <w:sz w:val="20"/>
              </w:rPr>
              <w:t>Instance Size</w:t>
            </w:r>
          </w:p>
        </w:tc>
        <w:tc>
          <w:tcPr>
            <w:tcW w:w="250" w:type="dxa"/>
            <w:tcBorders>
              <w:top w:val="single" w:sz="4" w:space="0" w:color="auto"/>
              <w:bottom w:val="single" w:sz="4" w:space="0" w:color="auto"/>
            </w:tcBorders>
          </w:tcPr>
          <w:p w:rsidR="000D129E" w:rsidRDefault="000D129E" w:rsidP="000D129E">
            <w:pPr>
              <w:pStyle w:val="ListParagraph"/>
              <w:tabs>
                <w:tab w:val="left" w:pos="720"/>
              </w:tabs>
              <w:ind w:left="0"/>
              <w:jc w:val="center"/>
              <w:rPr>
                <w:sz w:val="20"/>
              </w:rPr>
            </w:pPr>
          </w:p>
        </w:tc>
        <w:tc>
          <w:tcPr>
            <w:tcW w:w="4428" w:type="dxa"/>
            <w:gridSpan w:val="3"/>
            <w:tcBorders>
              <w:top w:val="single" w:sz="4" w:space="0" w:color="auto"/>
              <w:bottom w:val="single" w:sz="4" w:space="0" w:color="auto"/>
            </w:tcBorders>
          </w:tcPr>
          <w:p w:rsidR="000D129E" w:rsidRDefault="000D129E" w:rsidP="000D129E">
            <w:pPr>
              <w:pStyle w:val="ListParagraph"/>
              <w:tabs>
                <w:tab w:val="left" w:pos="720"/>
              </w:tabs>
              <w:ind w:left="0"/>
              <w:jc w:val="center"/>
              <w:rPr>
                <w:sz w:val="20"/>
              </w:rPr>
            </w:pPr>
            <w:r>
              <w:rPr>
                <w:sz w:val="20"/>
              </w:rPr>
              <w:t>NNI</w:t>
            </w:r>
          </w:p>
        </w:tc>
        <w:tc>
          <w:tcPr>
            <w:tcW w:w="284" w:type="dxa"/>
            <w:tcBorders>
              <w:top w:val="single" w:sz="4" w:space="0" w:color="auto"/>
              <w:bottom w:val="single" w:sz="4" w:space="0" w:color="auto"/>
            </w:tcBorders>
          </w:tcPr>
          <w:p w:rsidR="000D129E" w:rsidRPr="0038619B" w:rsidRDefault="000D129E" w:rsidP="000D129E">
            <w:pPr>
              <w:pStyle w:val="ListParagraph"/>
              <w:tabs>
                <w:tab w:val="left" w:pos="720"/>
              </w:tabs>
              <w:ind w:left="0"/>
              <w:jc w:val="center"/>
              <w:rPr>
                <w:sz w:val="20"/>
              </w:rPr>
            </w:pPr>
          </w:p>
        </w:tc>
        <w:tc>
          <w:tcPr>
            <w:tcW w:w="3368" w:type="dxa"/>
            <w:gridSpan w:val="3"/>
            <w:tcBorders>
              <w:top w:val="single" w:sz="4" w:space="0" w:color="auto"/>
              <w:bottom w:val="single" w:sz="4" w:space="0" w:color="auto"/>
            </w:tcBorders>
          </w:tcPr>
          <w:p w:rsidR="000D129E" w:rsidRDefault="000D129E" w:rsidP="000D129E">
            <w:pPr>
              <w:pStyle w:val="ListParagraph"/>
              <w:tabs>
                <w:tab w:val="left" w:pos="720"/>
              </w:tabs>
              <w:ind w:left="0"/>
              <w:jc w:val="center"/>
              <w:rPr>
                <w:sz w:val="20"/>
              </w:rPr>
            </w:pPr>
            <w:r>
              <w:rPr>
                <w:sz w:val="20"/>
              </w:rPr>
              <w:t>PI</w:t>
            </w:r>
          </w:p>
        </w:tc>
      </w:tr>
      <w:tr w:rsidR="000D129E" w:rsidRPr="00917E34" w:rsidTr="003D07CB">
        <w:tc>
          <w:tcPr>
            <w:tcW w:w="918" w:type="dxa"/>
            <w:tcBorders>
              <w:top w:val="single" w:sz="4" w:space="0" w:color="auto"/>
              <w:bottom w:val="single" w:sz="4" w:space="0" w:color="auto"/>
            </w:tcBorders>
          </w:tcPr>
          <w:p w:rsidR="000D129E" w:rsidRDefault="0053087D" w:rsidP="000D129E">
            <w:pPr>
              <w:pStyle w:val="ListParagraph"/>
              <w:tabs>
                <w:tab w:val="left" w:pos="720"/>
              </w:tabs>
              <w:ind w:left="0"/>
              <w:rPr>
                <w:sz w:val="20"/>
              </w:rPr>
            </w:pPr>
            <w:bookmarkStart w:id="386" w:name="_Hlk422382447"/>
            <w:r>
              <w:t>2</w:t>
            </w:r>
            <w:r>
              <w:rPr>
                <w:rFonts w:ascii="Arial Unicode MS" w:eastAsia="Arial Unicode MS" w:hAnsi="Arial Unicode MS" w:cs="Arial Unicode MS" w:hint="eastAsia"/>
              </w:rPr>
              <w:t>·</w:t>
            </w:r>
            <w:r>
              <w:rPr>
                <w:i/>
              </w:rPr>
              <w:t>n</w:t>
            </w:r>
          </w:p>
        </w:tc>
        <w:tc>
          <w:tcPr>
            <w:tcW w:w="250" w:type="dxa"/>
            <w:tcBorders>
              <w:top w:val="single" w:sz="4" w:space="0" w:color="auto"/>
            </w:tcBorders>
          </w:tcPr>
          <w:p w:rsidR="000D129E" w:rsidRPr="00917E34" w:rsidRDefault="000D129E" w:rsidP="000D129E">
            <w:pPr>
              <w:pStyle w:val="ListParagraph"/>
              <w:tabs>
                <w:tab w:val="left" w:pos="720"/>
              </w:tabs>
              <w:ind w:left="0"/>
              <w:jc w:val="center"/>
              <w:rPr>
                <w:sz w:val="20"/>
              </w:rPr>
            </w:pPr>
          </w:p>
        </w:tc>
        <w:tc>
          <w:tcPr>
            <w:tcW w:w="1559" w:type="dxa"/>
            <w:tcBorders>
              <w:top w:val="single" w:sz="4" w:space="0" w:color="auto"/>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R</w:t>
            </w:r>
          </w:p>
        </w:tc>
        <w:tc>
          <w:tcPr>
            <w:tcW w:w="1452" w:type="dxa"/>
            <w:tcBorders>
              <w:top w:val="single" w:sz="4" w:space="0" w:color="auto"/>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RC</w:t>
            </w:r>
          </w:p>
        </w:tc>
        <w:tc>
          <w:tcPr>
            <w:tcW w:w="1417" w:type="dxa"/>
            <w:tcBorders>
              <w:top w:val="single" w:sz="4" w:space="0" w:color="auto"/>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C</w:t>
            </w:r>
          </w:p>
        </w:tc>
        <w:tc>
          <w:tcPr>
            <w:tcW w:w="284" w:type="dxa"/>
            <w:tcBorders>
              <w:top w:val="single" w:sz="4" w:space="0" w:color="auto"/>
            </w:tcBorders>
          </w:tcPr>
          <w:p w:rsidR="000D129E" w:rsidRPr="0038619B" w:rsidRDefault="000D129E" w:rsidP="000D129E">
            <w:pPr>
              <w:pStyle w:val="ListParagraph"/>
              <w:tabs>
                <w:tab w:val="left" w:pos="720"/>
              </w:tabs>
              <w:ind w:left="0"/>
              <w:jc w:val="center"/>
              <w:rPr>
                <w:sz w:val="20"/>
              </w:rPr>
            </w:pPr>
          </w:p>
        </w:tc>
        <w:tc>
          <w:tcPr>
            <w:tcW w:w="1417" w:type="dxa"/>
            <w:tcBorders>
              <w:top w:val="single" w:sz="4" w:space="0" w:color="auto"/>
              <w:bottom w:val="single" w:sz="4" w:space="0" w:color="auto"/>
            </w:tcBorders>
          </w:tcPr>
          <w:p w:rsidR="000D129E" w:rsidRPr="0038619B" w:rsidRDefault="000D129E" w:rsidP="000D129E">
            <w:pPr>
              <w:pStyle w:val="ListParagraph"/>
              <w:tabs>
                <w:tab w:val="left" w:pos="720"/>
              </w:tabs>
              <w:ind w:left="0"/>
              <w:jc w:val="center"/>
              <w:rPr>
                <w:sz w:val="20"/>
              </w:rPr>
            </w:pPr>
            <w:r>
              <w:rPr>
                <w:sz w:val="20"/>
              </w:rPr>
              <w:t>D</w:t>
            </w:r>
            <w:r w:rsidR="000A6AAA">
              <w:rPr>
                <w:sz w:val="20"/>
              </w:rPr>
              <w:t>S</w:t>
            </w:r>
          </w:p>
        </w:tc>
        <w:tc>
          <w:tcPr>
            <w:tcW w:w="851" w:type="dxa"/>
            <w:tcBorders>
              <w:top w:val="single" w:sz="4" w:space="0" w:color="auto"/>
              <w:bottom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DCL</w:t>
            </w:r>
          </w:p>
        </w:tc>
        <w:tc>
          <w:tcPr>
            <w:tcW w:w="1100" w:type="dxa"/>
            <w:tcBorders>
              <w:top w:val="single" w:sz="4" w:space="0" w:color="auto"/>
              <w:bottom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CL</w:t>
            </w:r>
          </w:p>
        </w:tc>
      </w:tr>
      <w:tr w:rsidR="000D129E" w:rsidRPr="00917E34" w:rsidTr="003D07CB">
        <w:tc>
          <w:tcPr>
            <w:tcW w:w="918" w:type="dxa"/>
            <w:tcBorders>
              <w:top w:val="single" w:sz="4" w:space="0" w:color="auto"/>
            </w:tcBorders>
          </w:tcPr>
          <w:p w:rsidR="000D129E" w:rsidRPr="00917E34" w:rsidRDefault="000D129E" w:rsidP="000D129E">
            <w:pPr>
              <w:pStyle w:val="ListParagraph"/>
              <w:tabs>
                <w:tab w:val="left" w:pos="720"/>
              </w:tabs>
              <w:ind w:left="0"/>
              <w:rPr>
                <w:sz w:val="20"/>
              </w:rPr>
            </w:pPr>
            <w:r w:rsidRPr="00917E34">
              <w:rPr>
                <w:sz w:val="20"/>
              </w:rPr>
              <w:t>24</w:t>
            </w:r>
          </w:p>
        </w:tc>
        <w:tc>
          <w:tcPr>
            <w:tcW w:w="250" w:type="dxa"/>
          </w:tcPr>
          <w:p w:rsidR="000D129E" w:rsidRPr="00917E34" w:rsidRDefault="000D129E" w:rsidP="000D129E">
            <w:pPr>
              <w:pStyle w:val="ListParagraph"/>
              <w:tabs>
                <w:tab w:val="left" w:pos="720"/>
              </w:tabs>
              <w:ind w:left="0"/>
              <w:jc w:val="center"/>
              <w:rPr>
                <w:sz w:val="20"/>
              </w:rPr>
            </w:pPr>
          </w:p>
        </w:tc>
        <w:tc>
          <w:tcPr>
            <w:tcW w:w="1559" w:type="dxa"/>
            <w:tcBorders>
              <w:top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1.09</w:t>
            </w:r>
          </w:p>
        </w:tc>
        <w:tc>
          <w:tcPr>
            <w:tcW w:w="1452" w:type="dxa"/>
            <w:tcBorders>
              <w:top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1.15</w:t>
            </w:r>
          </w:p>
        </w:tc>
        <w:tc>
          <w:tcPr>
            <w:tcW w:w="1417" w:type="dxa"/>
            <w:tcBorders>
              <w:top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0.95</w:t>
            </w:r>
          </w:p>
        </w:tc>
        <w:tc>
          <w:tcPr>
            <w:tcW w:w="284" w:type="dxa"/>
          </w:tcPr>
          <w:p w:rsidR="000D129E" w:rsidRPr="0038619B" w:rsidRDefault="000D129E" w:rsidP="000D129E">
            <w:pPr>
              <w:pStyle w:val="ListParagraph"/>
              <w:tabs>
                <w:tab w:val="left" w:pos="720"/>
              </w:tabs>
              <w:ind w:left="0"/>
              <w:jc w:val="center"/>
              <w:rPr>
                <w:sz w:val="20"/>
              </w:rPr>
            </w:pPr>
          </w:p>
        </w:tc>
        <w:tc>
          <w:tcPr>
            <w:tcW w:w="1417" w:type="dxa"/>
            <w:tcBorders>
              <w:top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1.27</w:t>
            </w:r>
          </w:p>
        </w:tc>
        <w:tc>
          <w:tcPr>
            <w:tcW w:w="851" w:type="dxa"/>
            <w:tcBorders>
              <w:top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1.04</w:t>
            </w:r>
          </w:p>
        </w:tc>
        <w:tc>
          <w:tcPr>
            <w:tcW w:w="1100" w:type="dxa"/>
            <w:tcBorders>
              <w:top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0.66</w:t>
            </w:r>
          </w:p>
        </w:tc>
      </w:tr>
      <w:tr w:rsidR="000D129E" w:rsidRPr="00917E34" w:rsidTr="003D07CB">
        <w:tc>
          <w:tcPr>
            <w:tcW w:w="918" w:type="dxa"/>
          </w:tcPr>
          <w:p w:rsidR="000D129E" w:rsidRPr="00917E34" w:rsidRDefault="000D129E" w:rsidP="000D129E">
            <w:pPr>
              <w:pStyle w:val="ListParagraph"/>
              <w:tabs>
                <w:tab w:val="left" w:pos="720"/>
              </w:tabs>
              <w:ind w:left="0"/>
              <w:rPr>
                <w:sz w:val="20"/>
              </w:rPr>
            </w:pPr>
            <w:r w:rsidRPr="00917E34">
              <w:rPr>
                <w:sz w:val="20"/>
              </w:rPr>
              <w:t>56</w:t>
            </w:r>
          </w:p>
        </w:tc>
        <w:tc>
          <w:tcPr>
            <w:tcW w:w="250" w:type="dxa"/>
          </w:tcPr>
          <w:p w:rsidR="000D129E" w:rsidRPr="00917E34" w:rsidRDefault="000D129E" w:rsidP="000D129E">
            <w:pPr>
              <w:pStyle w:val="ListParagraph"/>
              <w:tabs>
                <w:tab w:val="left" w:pos="720"/>
              </w:tabs>
              <w:ind w:left="0"/>
              <w:jc w:val="center"/>
              <w:rPr>
                <w:sz w:val="20"/>
              </w:rPr>
            </w:pPr>
          </w:p>
        </w:tc>
        <w:tc>
          <w:tcPr>
            <w:tcW w:w="1559" w:type="dxa"/>
          </w:tcPr>
          <w:p w:rsidR="000D129E" w:rsidRPr="00917E34" w:rsidRDefault="000D129E" w:rsidP="000D129E">
            <w:pPr>
              <w:pStyle w:val="ListParagraph"/>
              <w:tabs>
                <w:tab w:val="left" w:pos="720"/>
              </w:tabs>
              <w:ind w:left="0"/>
              <w:jc w:val="center"/>
              <w:rPr>
                <w:sz w:val="20"/>
              </w:rPr>
            </w:pPr>
            <w:r w:rsidRPr="00917E34">
              <w:rPr>
                <w:sz w:val="20"/>
              </w:rPr>
              <w:t>1.04</w:t>
            </w:r>
          </w:p>
        </w:tc>
        <w:tc>
          <w:tcPr>
            <w:tcW w:w="1452" w:type="dxa"/>
          </w:tcPr>
          <w:p w:rsidR="000D129E" w:rsidRPr="00917E34" w:rsidRDefault="000D129E" w:rsidP="000D129E">
            <w:pPr>
              <w:pStyle w:val="ListParagraph"/>
              <w:tabs>
                <w:tab w:val="left" w:pos="720"/>
              </w:tabs>
              <w:ind w:left="0"/>
              <w:jc w:val="center"/>
              <w:rPr>
                <w:sz w:val="20"/>
              </w:rPr>
            </w:pPr>
            <w:r w:rsidRPr="00917E34">
              <w:rPr>
                <w:sz w:val="20"/>
              </w:rPr>
              <w:t>1.02</w:t>
            </w:r>
          </w:p>
        </w:tc>
        <w:tc>
          <w:tcPr>
            <w:tcW w:w="1417" w:type="dxa"/>
          </w:tcPr>
          <w:p w:rsidR="000D129E" w:rsidRPr="00917E34" w:rsidRDefault="000D129E" w:rsidP="000D129E">
            <w:pPr>
              <w:pStyle w:val="ListParagraph"/>
              <w:tabs>
                <w:tab w:val="left" w:pos="720"/>
              </w:tabs>
              <w:ind w:left="0"/>
              <w:jc w:val="center"/>
              <w:rPr>
                <w:sz w:val="20"/>
              </w:rPr>
            </w:pPr>
            <w:r w:rsidRPr="00917E34">
              <w:rPr>
                <w:sz w:val="20"/>
              </w:rPr>
              <w:t>0.82</w:t>
            </w:r>
          </w:p>
        </w:tc>
        <w:tc>
          <w:tcPr>
            <w:tcW w:w="284" w:type="dxa"/>
          </w:tcPr>
          <w:p w:rsidR="000D129E" w:rsidRPr="0038619B" w:rsidRDefault="000D129E" w:rsidP="000D129E">
            <w:pPr>
              <w:pStyle w:val="ListParagraph"/>
              <w:tabs>
                <w:tab w:val="left" w:pos="720"/>
              </w:tabs>
              <w:ind w:left="0"/>
              <w:jc w:val="center"/>
              <w:rPr>
                <w:sz w:val="20"/>
              </w:rPr>
            </w:pPr>
          </w:p>
        </w:tc>
        <w:tc>
          <w:tcPr>
            <w:tcW w:w="1417" w:type="dxa"/>
          </w:tcPr>
          <w:p w:rsidR="000D129E" w:rsidRPr="0038619B" w:rsidRDefault="000D129E" w:rsidP="000D129E">
            <w:pPr>
              <w:pStyle w:val="ListParagraph"/>
              <w:tabs>
                <w:tab w:val="left" w:pos="720"/>
              </w:tabs>
              <w:ind w:left="0"/>
              <w:jc w:val="center"/>
              <w:rPr>
                <w:sz w:val="20"/>
              </w:rPr>
            </w:pPr>
            <w:r w:rsidRPr="0038619B">
              <w:rPr>
                <w:sz w:val="20"/>
              </w:rPr>
              <w:t>1.32</w:t>
            </w:r>
          </w:p>
        </w:tc>
        <w:tc>
          <w:tcPr>
            <w:tcW w:w="851" w:type="dxa"/>
          </w:tcPr>
          <w:p w:rsidR="000D129E" w:rsidRPr="0038619B" w:rsidRDefault="000D129E" w:rsidP="000D129E">
            <w:pPr>
              <w:pStyle w:val="ListParagraph"/>
              <w:tabs>
                <w:tab w:val="left" w:pos="720"/>
              </w:tabs>
              <w:ind w:left="0"/>
              <w:jc w:val="center"/>
              <w:rPr>
                <w:sz w:val="20"/>
              </w:rPr>
            </w:pPr>
            <w:r w:rsidRPr="0038619B">
              <w:rPr>
                <w:sz w:val="20"/>
              </w:rPr>
              <w:t>1.02</w:t>
            </w:r>
          </w:p>
        </w:tc>
        <w:tc>
          <w:tcPr>
            <w:tcW w:w="1100" w:type="dxa"/>
          </w:tcPr>
          <w:p w:rsidR="000D129E" w:rsidRPr="0038619B" w:rsidRDefault="000D129E" w:rsidP="000D129E">
            <w:pPr>
              <w:pStyle w:val="ListParagraph"/>
              <w:tabs>
                <w:tab w:val="left" w:pos="720"/>
              </w:tabs>
              <w:ind w:left="0"/>
              <w:jc w:val="center"/>
              <w:rPr>
                <w:sz w:val="20"/>
              </w:rPr>
            </w:pPr>
            <w:r w:rsidRPr="0038619B">
              <w:rPr>
                <w:sz w:val="20"/>
              </w:rPr>
              <w:t>0.42</w:t>
            </w:r>
          </w:p>
        </w:tc>
      </w:tr>
      <w:tr w:rsidR="000D129E" w:rsidRPr="00917E34" w:rsidTr="003D07CB">
        <w:tc>
          <w:tcPr>
            <w:tcW w:w="918" w:type="dxa"/>
          </w:tcPr>
          <w:p w:rsidR="000D129E" w:rsidRPr="00917E34" w:rsidRDefault="000D129E" w:rsidP="000D129E">
            <w:pPr>
              <w:pStyle w:val="ListParagraph"/>
              <w:tabs>
                <w:tab w:val="left" w:pos="720"/>
              </w:tabs>
              <w:ind w:left="0"/>
              <w:rPr>
                <w:sz w:val="20"/>
              </w:rPr>
            </w:pPr>
            <w:r w:rsidRPr="00917E34">
              <w:rPr>
                <w:sz w:val="20"/>
              </w:rPr>
              <w:t>72</w:t>
            </w:r>
          </w:p>
        </w:tc>
        <w:tc>
          <w:tcPr>
            <w:tcW w:w="250" w:type="dxa"/>
          </w:tcPr>
          <w:p w:rsidR="000D129E" w:rsidRPr="00917E34" w:rsidRDefault="000D129E" w:rsidP="000D129E">
            <w:pPr>
              <w:pStyle w:val="ListParagraph"/>
              <w:tabs>
                <w:tab w:val="left" w:pos="720"/>
              </w:tabs>
              <w:ind w:left="0"/>
              <w:jc w:val="center"/>
              <w:rPr>
                <w:sz w:val="20"/>
              </w:rPr>
            </w:pPr>
          </w:p>
        </w:tc>
        <w:tc>
          <w:tcPr>
            <w:tcW w:w="1559" w:type="dxa"/>
          </w:tcPr>
          <w:p w:rsidR="000D129E" w:rsidRPr="00917E34" w:rsidRDefault="000D129E" w:rsidP="000D129E">
            <w:pPr>
              <w:pStyle w:val="ListParagraph"/>
              <w:tabs>
                <w:tab w:val="left" w:pos="720"/>
              </w:tabs>
              <w:ind w:left="0"/>
              <w:jc w:val="center"/>
              <w:rPr>
                <w:sz w:val="20"/>
              </w:rPr>
            </w:pPr>
            <w:r w:rsidRPr="00917E34">
              <w:rPr>
                <w:sz w:val="20"/>
              </w:rPr>
              <w:t>1.04</w:t>
            </w:r>
          </w:p>
        </w:tc>
        <w:tc>
          <w:tcPr>
            <w:tcW w:w="1452" w:type="dxa"/>
          </w:tcPr>
          <w:p w:rsidR="000D129E" w:rsidRPr="00917E34" w:rsidRDefault="000D129E" w:rsidP="000D129E">
            <w:pPr>
              <w:pStyle w:val="ListParagraph"/>
              <w:tabs>
                <w:tab w:val="left" w:pos="720"/>
              </w:tabs>
              <w:ind w:left="0"/>
              <w:jc w:val="center"/>
              <w:rPr>
                <w:sz w:val="20"/>
              </w:rPr>
            </w:pPr>
            <w:r w:rsidRPr="00917E34">
              <w:rPr>
                <w:sz w:val="20"/>
              </w:rPr>
              <w:t>0.97</w:t>
            </w:r>
          </w:p>
        </w:tc>
        <w:tc>
          <w:tcPr>
            <w:tcW w:w="1417" w:type="dxa"/>
          </w:tcPr>
          <w:p w:rsidR="000D129E" w:rsidRPr="001E09C6" w:rsidRDefault="000D129E" w:rsidP="000D129E">
            <w:pPr>
              <w:tabs>
                <w:tab w:val="left" w:pos="720"/>
              </w:tabs>
              <w:jc w:val="center"/>
              <w:rPr>
                <w:sz w:val="20"/>
              </w:rPr>
            </w:pPr>
            <w:r w:rsidRPr="001E09C6">
              <w:rPr>
                <w:sz w:val="20"/>
              </w:rPr>
              <w:t>0.78</w:t>
            </w:r>
          </w:p>
        </w:tc>
        <w:tc>
          <w:tcPr>
            <w:tcW w:w="284" w:type="dxa"/>
          </w:tcPr>
          <w:p w:rsidR="000D129E" w:rsidRPr="0038619B" w:rsidRDefault="000D129E" w:rsidP="000D129E">
            <w:pPr>
              <w:pStyle w:val="ListParagraph"/>
              <w:tabs>
                <w:tab w:val="left" w:pos="720"/>
              </w:tabs>
              <w:ind w:left="0"/>
              <w:jc w:val="center"/>
              <w:rPr>
                <w:sz w:val="20"/>
              </w:rPr>
            </w:pPr>
          </w:p>
        </w:tc>
        <w:tc>
          <w:tcPr>
            <w:tcW w:w="1417" w:type="dxa"/>
          </w:tcPr>
          <w:p w:rsidR="000D129E" w:rsidRPr="0038619B" w:rsidRDefault="000D129E" w:rsidP="000D129E">
            <w:pPr>
              <w:pStyle w:val="ListParagraph"/>
              <w:tabs>
                <w:tab w:val="left" w:pos="720"/>
              </w:tabs>
              <w:ind w:left="0"/>
              <w:jc w:val="center"/>
              <w:rPr>
                <w:sz w:val="20"/>
              </w:rPr>
            </w:pPr>
            <w:r w:rsidRPr="0038619B">
              <w:rPr>
                <w:sz w:val="20"/>
              </w:rPr>
              <w:t>1.38</w:t>
            </w:r>
          </w:p>
        </w:tc>
        <w:tc>
          <w:tcPr>
            <w:tcW w:w="851" w:type="dxa"/>
          </w:tcPr>
          <w:p w:rsidR="000D129E" w:rsidRPr="0038619B" w:rsidRDefault="000D129E" w:rsidP="000D129E">
            <w:pPr>
              <w:pStyle w:val="ListParagraph"/>
              <w:tabs>
                <w:tab w:val="left" w:pos="720"/>
              </w:tabs>
              <w:ind w:left="0"/>
              <w:jc w:val="center"/>
              <w:rPr>
                <w:sz w:val="20"/>
              </w:rPr>
            </w:pPr>
            <w:r w:rsidRPr="0038619B">
              <w:rPr>
                <w:sz w:val="20"/>
              </w:rPr>
              <w:t>0.93</w:t>
            </w:r>
          </w:p>
        </w:tc>
        <w:tc>
          <w:tcPr>
            <w:tcW w:w="1100" w:type="dxa"/>
          </w:tcPr>
          <w:p w:rsidR="000D129E" w:rsidRPr="0038619B" w:rsidRDefault="000D129E" w:rsidP="000D129E">
            <w:pPr>
              <w:pStyle w:val="ListParagraph"/>
              <w:tabs>
                <w:tab w:val="left" w:pos="720"/>
              </w:tabs>
              <w:ind w:left="0"/>
              <w:jc w:val="center"/>
              <w:rPr>
                <w:sz w:val="20"/>
              </w:rPr>
            </w:pPr>
            <w:r w:rsidRPr="0038619B">
              <w:rPr>
                <w:sz w:val="20"/>
              </w:rPr>
              <w:t>0.36</w:t>
            </w:r>
          </w:p>
        </w:tc>
      </w:tr>
      <w:tr w:rsidR="000D129E" w:rsidRPr="00917E34" w:rsidTr="003D07CB">
        <w:tc>
          <w:tcPr>
            <w:tcW w:w="918" w:type="dxa"/>
            <w:tcBorders>
              <w:bottom w:val="single" w:sz="4" w:space="0" w:color="auto"/>
            </w:tcBorders>
          </w:tcPr>
          <w:p w:rsidR="000D129E" w:rsidRPr="00917E34" w:rsidRDefault="000D129E" w:rsidP="000D129E">
            <w:pPr>
              <w:pStyle w:val="ListParagraph"/>
              <w:tabs>
                <w:tab w:val="left" w:pos="720"/>
              </w:tabs>
              <w:ind w:left="0"/>
              <w:rPr>
                <w:sz w:val="20"/>
              </w:rPr>
            </w:pPr>
            <w:r w:rsidRPr="00917E34">
              <w:rPr>
                <w:sz w:val="20"/>
              </w:rPr>
              <w:t>96</w:t>
            </w:r>
          </w:p>
        </w:tc>
        <w:tc>
          <w:tcPr>
            <w:tcW w:w="250" w:type="dxa"/>
            <w:tcBorders>
              <w:bottom w:val="single" w:sz="4" w:space="0" w:color="auto"/>
            </w:tcBorders>
          </w:tcPr>
          <w:p w:rsidR="000D129E" w:rsidRPr="00917E34" w:rsidRDefault="000D129E" w:rsidP="000D129E">
            <w:pPr>
              <w:pStyle w:val="ListParagraph"/>
              <w:tabs>
                <w:tab w:val="left" w:pos="720"/>
              </w:tabs>
              <w:ind w:left="0"/>
              <w:jc w:val="center"/>
              <w:rPr>
                <w:sz w:val="20"/>
              </w:rPr>
            </w:pPr>
          </w:p>
        </w:tc>
        <w:tc>
          <w:tcPr>
            <w:tcW w:w="1559" w:type="dxa"/>
            <w:tcBorders>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1.04</w:t>
            </w:r>
          </w:p>
        </w:tc>
        <w:tc>
          <w:tcPr>
            <w:tcW w:w="1452" w:type="dxa"/>
            <w:tcBorders>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1.00</w:t>
            </w:r>
          </w:p>
        </w:tc>
        <w:tc>
          <w:tcPr>
            <w:tcW w:w="1417" w:type="dxa"/>
            <w:tcBorders>
              <w:bottom w:val="single" w:sz="4" w:space="0" w:color="auto"/>
            </w:tcBorders>
          </w:tcPr>
          <w:p w:rsidR="000D129E" w:rsidRPr="00917E34" w:rsidRDefault="000D129E" w:rsidP="000D129E">
            <w:pPr>
              <w:pStyle w:val="ListParagraph"/>
              <w:tabs>
                <w:tab w:val="left" w:pos="720"/>
              </w:tabs>
              <w:ind w:left="0"/>
              <w:jc w:val="center"/>
              <w:rPr>
                <w:sz w:val="20"/>
              </w:rPr>
            </w:pPr>
            <w:r w:rsidRPr="00917E34">
              <w:rPr>
                <w:sz w:val="20"/>
              </w:rPr>
              <w:t>0.79</w:t>
            </w:r>
          </w:p>
        </w:tc>
        <w:tc>
          <w:tcPr>
            <w:tcW w:w="284" w:type="dxa"/>
            <w:tcBorders>
              <w:bottom w:val="single" w:sz="4" w:space="0" w:color="auto"/>
            </w:tcBorders>
          </w:tcPr>
          <w:p w:rsidR="000D129E" w:rsidRPr="0038619B" w:rsidRDefault="000D129E" w:rsidP="000D129E">
            <w:pPr>
              <w:pStyle w:val="ListParagraph"/>
              <w:tabs>
                <w:tab w:val="left" w:pos="720"/>
              </w:tabs>
              <w:ind w:left="0"/>
              <w:jc w:val="center"/>
              <w:rPr>
                <w:sz w:val="20"/>
              </w:rPr>
            </w:pPr>
          </w:p>
        </w:tc>
        <w:tc>
          <w:tcPr>
            <w:tcW w:w="1417" w:type="dxa"/>
            <w:tcBorders>
              <w:bottom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1.37</w:t>
            </w:r>
          </w:p>
        </w:tc>
        <w:tc>
          <w:tcPr>
            <w:tcW w:w="851" w:type="dxa"/>
            <w:tcBorders>
              <w:bottom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0.94</w:t>
            </w:r>
          </w:p>
        </w:tc>
        <w:tc>
          <w:tcPr>
            <w:tcW w:w="1100" w:type="dxa"/>
            <w:tcBorders>
              <w:bottom w:val="single" w:sz="4" w:space="0" w:color="auto"/>
            </w:tcBorders>
          </w:tcPr>
          <w:p w:rsidR="000D129E" w:rsidRPr="0038619B" w:rsidRDefault="000D129E" w:rsidP="000D129E">
            <w:pPr>
              <w:pStyle w:val="ListParagraph"/>
              <w:tabs>
                <w:tab w:val="left" w:pos="720"/>
              </w:tabs>
              <w:ind w:left="0"/>
              <w:jc w:val="center"/>
              <w:rPr>
                <w:sz w:val="20"/>
              </w:rPr>
            </w:pPr>
            <w:r w:rsidRPr="0038619B">
              <w:rPr>
                <w:sz w:val="20"/>
              </w:rPr>
              <w:t>0.31</w:t>
            </w:r>
          </w:p>
        </w:tc>
      </w:tr>
      <w:bookmarkEnd w:id="383"/>
      <w:bookmarkEnd w:id="384"/>
      <w:bookmarkEnd w:id="385"/>
      <w:bookmarkEnd w:id="386"/>
    </w:tbl>
    <w:p w:rsidR="00C95DB7" w:rsidRDefault="00C95DB7" w:rsidP="00C80EFE">
      <w:pPr>
        <w:spacing w:after="0"/>
        <w:jc w:val="both"/>
        <w:rPr>
          <w:lang w:val="el-GR"/>
        </w:rPr>
      </w:pPr>
    </w:p>
    <w:p w:rsidR="00E2562B" w:rsidRDefault="00626B5F" w:rsidP="00F00EA5">
      <w:pPr>
        <w:spacing w:after="0"/>
        <w:ind w:firstLine="720"/>
        <w:jc w:val="both"/>
      </w:pPr>
      <w:r>
        <w:t>Furthermore</w:t>
      </w:r>
      <w:r w:rsidR="008F4329" w:rsidRPr="00101E56">
        <w:t xml:space="preserve">, </w:t>
      </w:r>
      <w:bookmarkEnd w:id="376"/>
      <w:bookmarkEnd w:id="377"/>
      <w:r>
        <w:t xml:space="preserve">the impact of </w:t>
      </w:r>
      <w:r w:rsidR="00B11A87">
        <w:t>four</w:t>
      </w:r>
      <w:r>
        <w:t xml:space="preserve"> </w:t>
      </w:r>
      <w:r w:rsidR="003A6947">
        <w:t xml:space="preserve">key </w:t>
      </w:r>
      <w:r w:rsidR="003666EA">
        <w:t xml:space="preserve">problem </w:t>
      </w:r>
      <w:r w:rsidR="003A1B0A">
        <w:t>parameter</w:t>
      </w:r>
      <w:r w:rsidR="008F4329" w:rsidRPr="00101E56">
        <w:t>s</w:t>
      </w:r>
      <w:r w:rsidR="00C34ED3">
        <w:t xml:space="preserve"> </w:t>
      </w:r>
      <w:r>
        <w:t xml:space="preserve">is examined. In particular, focus is given on the vehicle capacity </w:t>
      </w:r>
      <w:r w:rsidRPr="00EA0699">
        <w:rPr>
          <w:i/>
        </w:rPr>
        <w:t>Q</w:t>
      </w:r>
      <w:r>
        <w:t xml:space="preserve">, the maximum route duration </w:t>
      </w:r>
      <w:r w:rsidRPr="00EA0699">
        <w:rPr>
          <w:i/>
        </w:rPr>
        <w:t>T</w:t>
      </w:r>
      <w:r w:rsidR="003666EA">
        <w:t>,</w:t>
      </w:r>
      <w:r>
        <w:t xml:space="preserve"> the depot location </w:t>
      </w:r>
      <w:r w:rsidRPr="00EA0699">
        <w:rPr>
          <w:i/>
        </w:rPr>
        <w:t>D</w:t>
      </w:r>
      <w:r w:rsidR="003666EA">
        <w:t xml:space="preserve"> and the loading/un</w:t>
      </w:r>
      <w:r w:rsidR="00412827">
        <w:t xml:space="preserve">loading time at the cross-dock </w:t>
      </w:r>
      <w:r w:rsidR="00412827" w:rsidRPr="00EA0699">
        <w:rPr>
          <w:i/>
        </w:rPr>
        <w:t>s</w:t>
      </w:r>
      <w:r w:rsidR="005A1319">
        <w:rPr>
          <w:i/>
        </w:rPr>
        <w:t xml:space="preserve"> </w:t>
      </w:r>
      <w:r>
        <w:t xml:space="preserve">(this </w:t>
      </w:r>
      <w:r w:rsidRPr="00101E56">
        <w:t>parameter is con</w:t>
      </w:r>
      <w:r>
        <w:t xml:space="preserve">sidered </w:t>
      </w:r>
      <w:r w:rsidRPr="00E2562B">
        <w:t>only for the VRPCD</w:t>
      </w:r>
      <w:r w:rsidR="003666EA" w:rsidRPr="00E2562B">
        <w:t>)</w:t>
      </w:r>
      <w:r w:rsidR="00497FA5">
        <w:t xml:space="preserve">. </w:t>
      </w:r>
      <w:r w:rsidR="00967686">
        <w:t xml:space="preserve">Let </w:t>
      </w:r>
      <w:r w:rsidR="00967686">
        <w:rPr>
          <w:i/>
        </w:rPr>
        <w:t xml:space="preserve">P = </w:t>
      </w:r>
      <w:r w:rsidR="00967686" w:rsidRPr="00101E56">
        <w:t>{</w:t>
      </w:r>
      <w:r w:rsidR="00967686">
        <w:rPr>
          <w:i/>
        </w:rPr>
        <w:t xml:space="preserve">Q, T, D, </w:t>
      </w:r>
      <w:proofErr w:type="gramStart"/>
      <w:r w:rsidR="00967686">
        <w:rPr>
          <w:i/>
        </w:rPr>
        <w:t>s</w:t>
      </w:r>
      <w:proofErr w:type="gramEnd"/>
      <w:r w:rsidR="00967686">
        <w:t xml:space="preserve">} be the set of </w:t>
      </w:r>
      <w:r w:rsidR="004547F5">
        <w:t xml:space="preserve">the </w:t>
      </w:r>
      <w:r w:rsidR="00967686">
        <w:t xml:space="preserve">examined parameters. </w:t>
      </w:r>
      <w:r w:rsidR="00263DA5" w:rsidRPr="00E2562B">
        <w:t xml:space="preserve">For each </w:t>
      </w:r>
      <w:r w:rsidR="00263DA5">
        <w:t xml:space="preserve">parameter </w:t>
      </w:r>
      <w:bookmarkStart w:id="387" w:name="OLE_LINK827"/>
      <w:bookmarkStart w:id="388" w:name="OLE_LINK828"/>
      <w:bookmarkStart w:id="389" w:name="OLE_LINK404"/>
      <w:r w:rsidR="00263DA5" w:rsidRPr="00967686">
        <w:rPr>
          <w:i/>
        </w:rPr>
        <w:t xml:space="preserve">p </w:t>
      </w:r>
      <w:r w:rsidR="00263DA5" w:rsidRPr="00967686">
        <w:rPr>
          <w:rFonts w:ascii="Arial Unicode MS" w:eastAsia="Arial Unicode MS" w:hAnsi="Arial Unicode MS" w:cs="Arial Unicode MS" w:hint="eastAsia"/>
          <w:i/>
        </w:rPr>
        <w:t>∈</w:t>
      </w:r>
      <w:r w:rsidR="00263DA5" w:rsidRPr="00967686">
        <w:rPr>
          <w:i/>
        </w:rPr>
        <w:t xml:space="preserve"> P</w:t>
      </w:r>
      <w:bookmarkEnd w:id="387"/>
      <w:bookmarkEnd w:id="388"/>
      <w:bookmarkEnd w:id="389"/>
      <w:r w:rsidR="00B25592">
        <w:t xml:space="preserve">, </w:t>
      </w:r>
      <w:bookmarkStart w:id="390" w:name="OLE_LINK742"/>
      <w:bookmarkStart w:id="391" w:name="OLE_LINK794"/>
      <w:bookmarkStart w:id="392" w:name="OLE_LINK798"/>
      <w:r w:rsidR="00D17631" w:rsidRPr="008A1195">
        <w:t xml:space="preserve">let </w:t>
      </w:r>
      <w:r w:rsidR="00D17631" w:rsidRPr="008A1195">
        <w:rPr>
          <w:rFonts w:cs="Cambria Math"/>
          <w:i/>
        </w:rPr>
        <w:t>L</w:t>
      </w:r>
      <w:r w:rsidR="00D17631" w:rsidRPr="008A1195">
        <w:rPr>
          <w:rFonts w:cs="Cambria Math"/>
        </w:rPr>
        <w:t xml:space="preserve">= {1, 2, </w:t>
      </w:r>
      <w:proofErr w:type="gramStart"/>
      <w:r w:rsidR="00D17631" w:rsidRPr="008A1195">
        <w:rPr>
          <w:rFonts w:cs="Cambria Math"/>
        </w:rPr>
        <w:t>3</w:t>
      </w:r>
      <w:proofErr w:type="gramEnd"/>
      <w:r w:rsidR="00D17631" w:rsidRPr="008A1195">
        <w:rPr>
          <w:rFonts w:cs="Cambria Math"/>
        </w:rPr>
        <w:t>} to denote the parameter level</w:t>
      </w:r>
      <w:r w:rsidR="00D17631" w:rsidRPr="008A1195">
        <w:t xml:space="preserve">. </w:t>
      </w:r>
      <w:r w:rsidR="00263DA5">
        <w:t xml:space="preserve">Thus, in total </w:t>
      </w:r>
      <w:r w:rsidR="004547F5">
        <w:t>12</w:t>
      </w:r>
      <w:r w:rsidR="00263DA5">
        <w:t xml:space="preserve"> parameter </w:t>
      </w:r>
      <w:r w:rsidR="00D17631">
        <w:t xml:space="preserve">level </w:t>
      </w:r>
      <w:r w:rsidR="00263DA5">
        <w:t>values are used and reported in Table 4. Note that the depot location parameter consists of a (</w:t>
      </w:r>
      <w:proofErr w:type="spellStart"/>
      <w:r w:rsidR="00263DA5">
        <w:t>x</w:t>
      </w:r>
      <w:proofErr w:type="gramStart"/>
      <w:r w:rsidR="00263DA5">
        <w:t>,y</w:t>
      </w:r>
      <w:proofErr w:type="spellEnd"/>
      <w:proofErr w:type="gramEnd"/>
      <w:r w:rsidR="00263DA5">
        <w:t xml:space="preserve">) coordinate </w:t>
      </w:r>
      <w:proofErr w:type="spellStart"/>
      <w:r w:rsidR="00263DA5">
        <w:t>tuple</w:t>
      </w:r>
      <w:proofErr w:type="spellEnd"/>
      <w:r w:rsidR="000944AD">
        <w:t>. The y-coordinate is varied, while the x-coordinate is fixed at 50.</w:t>
      </w:r>
      <w:bookmarkEnd w:id="390"/>
      <w:bookmarkEnd w:id="391"/>
      <w:bookmarkEnd w:id="392"/>
      <w:r w:rsidR="000944AD">
        <w:t xml:space="preserve"> </w:t>
      </w:r>
      <w:r w:rsidR="00497FA5">
        <w:t>An</w:t>
      </w:r>
      <w:r w:rsidR="00E2562B">
        <w:t xml:space="preserve"> i</w:t>
      </w:r>
      <w:r w:rsidR="00E2562B" w:rsidRPr="00E2562B">
        <w:t>llustration of the depot location</w:t>
      </w:r>
      <w:r w:rsidR="00E2562B">
        <w:t>s</w:t>
      </w:r>
      <w:r w:rsidR="00693C93">
        <w:t xml:space="preserve"> levels (</w:t>
      </w:r>
      <w:r w:rsidR="00693C93" w:rsidRPr="00EA0699">
        <w:rPr>
          <w:i/>
        </w:rPr>
        <w:t>D1</w:t>
      </w:r>
      <w:r w:rsidR="00693C93">
        <w:t>,</w:t>
      </w:r>
      <w:r w:rsidR="00693C93" w:rsidRPr="00EA0699">
        <w:rPr>
          <w:i/>
        </w:rPr>
        <w:t xml:space="preserve"> D2</w:t>
      </w:r>
      <w:r w:rsidR="00672609" w:rsidRPr="00672609">
        <w:rPr>
          <w:i/>
        </w:rPr>
        <w:t xml:space="preserve"> </w:t>
      </w:r>
      <w:r w:rsidR="00E2562B" w:rsidRPr="00E2562B">
        <w:t xml:space="preserve">and </w:t>
      </w:r>
      <w:r w:rsidR="00E2562B" w:rsidRPr="00EA0699">
        <w:rPr>
          <w:i/>
        </w:rPr>
        <w:t>D3</w:t>
      </w:r>
      <w:r w:rsidR="00E2562B" w:rsidRPr="00E2562B">
        <w:t xml:space="preserve">) </w:t>
      </w:r>
      <w:r w:rsidR="00E2562B">
        <w:t xml:space="preserve">for an instance of the </w:t>
      </w:r>
      <w:r w:rsidR="00E2562B" w:rsidRPr="00EA0699">
        <w:rPr>
          <w:i/>
        </w:rPr>
        <w:t>RC</w:t>
      </w:r>
      <w:r w:rsidR="00E2562B">
        <w:t xml:space="preserve"> class with 56 nodes is depicted in Figure </w:t>
      </w:r>
      <w:r w:rsidR="00376E5B">
        <w:t>2</w:t>
      </w:r>
      <w:r w:rsidR="00E2562B">
        <w:t>.</w:t>
      </w:r>
    </w:p>
    <w:p w:rsidR="00BF1F6F" w:rsidRDefault="00BF1F6F" w:rsidP="00F00EA5">
      <w:pPr>
        <w:spacing w:after="0"/>
        <w:ind w:firstLine="720"/>
        <w:jc w:val="both"/>
      </w:pPr>
    </w:p>
    <w:p w:rsidR="002A0427" w:rsidRDefault="00BF1F6F" w:rsidP="00E2562B">
      <w:pPr>
        <w:spacing w:after="0"/>
        <w:jc w:val="both"/>
      </w:pPr>
      <w:proofErr w:type="gramStart"/>
      <w:r w:rsidRPr="00820E4E">
        <w:rPr>
          <w:b/>
          <w:sz w:val="20"/>
        </w:rPr>
        <w:t xml:space="preserve">Table </w:t>
      </w:r>
      <w:r>
        <w:rPr>
          <w:b/>
          <w:sz w:val="20"/>
        </w:rPr>
        <w:t>4</w:t>
      </w:r>
      <w:r w:rsidRPr="00820E4E">
        <w:rPr>
          <w:b/>
          <w:sz w:val="20"/>
        </w:rPr>
        <w:t>.</w:t>
      </w:r>
      <w:proofErr w:type="gramEnd"/>
      <w:r w:rsidRPr="00820E4E">
        <w:rPr>
          <w:b/>
          <w:sz w:val="20"/>
        </w:rPr>
        <w:t xml:space="preserve"> </w:t>
      </w:r>
      <w:r w:rsidRPr="00BD3852">
        <w:rPr>
          <w:sz w:val="20"/>
        </w:rPr>
        <w:t>Parameter level values used for Data Set I</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843"/>
        <w:gridCol w:w="1984"/>
        <w:gridCol w:w="1985"/>
        <w:gridCol w:w="2267"/>
      </w:tblGrid>
      <w:tr w:rsidR="002A0427" w:rsidTr="00497FA5">
        <w:trPr>
          <w:trHeight w:val="593"/>
        </w:trPr>
        <w:tc>
          <w:tcPr>
            <w:tcW w:w="1276" w:type="dxa"/>
            <w:tcBorders>
              <w:top w:val="single" w:sz="4" w:space="0" w:color="auto"/>
              <w:bottom w:val="single" w:sz="4" w:space="0" w:color="auto"/>
            </w:tcBorders>
          </w:tcPr>
          <w:p w:rsidR="002A0427" w:rsidRPr="00820E4E" w:rsidRDefault="00E87D23" w:rsidP="00E87D23">
            <w:pPr>
              <w:jc w:val="both"/>
              <w:rPr>
                <w:rFonts w:cs="Cambria Math"/>
                <w:sz w:val="20"/>
              </w:rPr>
            </w:pPr>
            <w:r>
              <w:rPr>
                <w:rFonts w:cs="Cambria Math"/>
                <w:sz w:val="20"/>
              </w:rPr>
              <w:t>Parameter l</w:t>
            </w:r>
            <w:r w:rsidR="002A0427" w:rsidRPr="00820E4E">
              <w:rPr>
                <w:rFonts w:cs="Cambria Math"/>
                <w:sz w:val="20"/>
              </w:rPr>
              <w:t xml:space="preserve">evel </w:t>
            </w:r>
          </w:p>
        </w:tc>
        <w:tc>
          <w:tcPr>
            <w:tcW w:w="1843" w:type="dxa"/>
            <w:tcBorders>
              <w:top w:val="single" w:sz="4" w:space="0" w:color="auto"/>
              <w:bottom w:val="single" w:sz="4" w:space="0" w:color="auto"/>
            </w:tcBorders>
          </w:tcPr>
          <w:p w:rsidR="002A0427" w:rsidRPr="00820E4E" w:rsidRDefault="002A0427" w:rsidP="002A0427">
            <w:pPr>
              <w:jc w:val="center"/>
              <w:rPr>
                <w:rFonts w:cs="Cambria Math"/>
                <w:sz w:val="20"/>
              </w:rPr>
            </w:pPr>
            <w:r w:rsidRPr="00820E4E">
              <w:rPr>
                <w:rFonts w:cs="Cambria Math"/>
                <w:sz w:val="20"/>
              </w:rPr>
              <w:t xml:space="preserve">Vehicle </w:t>
            </w:r>
            <w:r w:rsidR="00E87D23">
              <w:rPr>
                <w:rFonts w:cs="Cambria Math"/>
                <w:sz w:val="20"/>
              </w:rPr>
              <w:t>c</w:t>
            </w:r>
            <w:r w:rsidRPr="00820E4E">
              <w:rPr>
                <w:rFonts w:cs="Cambria Math"/>
                <w:sz w:val="20"/>
              </w:rPr>
              <w:t>apacity</w:t>
            </w:r>
          </w:p>
          <w:p w:rsidR="002A0427" w:rsidRPr="00820E4E" w:rsidRDefault="002A0427" w:rsidP="002A0427">
            <w:pPr>
              <w:jc w:val="center"/>
              <w:rPr>
                <w:rFonts w:cs="Cambria Math"/>
                <w:sz w:val="20"/>
              </w:rPr>
            </w:pPr>
            <w:r w:rsidRPr="00820E4E">
              <w:rPr>
                <w:rFonts w:cs="Cambria Math"/>
                <w:sz w:val="20"/>
              </w:rPr>
              <w:t>(</w:t>
            </w:r>
            <w:r w:rsidRPr="00CF0DCA">
              <w:rPr>
                <w:rFonts w:cs="Cambria Math"/>
                <w:i/>
                <w:sz w:val="20"/>
              </w:rPr>
              <w:t>Q</w:t>
            </w:r>
            <w:r w:rsidRPr="00820E4E">
              <w:rPr>
                <w:rFonts w:cs="Cambria Math"/>
                <w:sz w:val="20"/>
              </w:rPr>
              <w:t>)</w:t>
            </w:r>
          </w:p>
        </w:tc>
        <w:tc>
          <w:tcPr>
            <w:tcW w:w="1984" w:type="dxa"/>
            <w:tcBorders>
              <w:top w:val="single" w:sz="4" w:space="0" w:color="auto"/>
              <w:bottom w:val="single" w:sz="4" w:space="0" w:color="auto"/>
            </w:tcBorders>
          </w:tcPr>
          <w:p w:rsidR="002A0427" w:rsidRPr="00820E4E" w:rsidRDefault="00E87D23" w:rsidP="002A0427">
            <w:pPr>
              <w:jc w:val="center"/>
              <w:rPr>
                <w:rFonts w:cs="Cambria Math"/>
                <w:sz w:val="20"/>
              </w:rPr>
            </w:pPr>
            <w:r>
              <w:rPr>
                <w:rFonts w:cs="Cambria Math"/>
                <w:sz w:val="20"/>
              </w:rPr>
              <w:t>Max r</w:t>
            </w:r>
            <w:r w:rsidR="002A0427" w:rsidRPr="00820E4E">
              <w:rPr>
                <w:rFonts w:cs="Cambria Math"/>
                <w:sz w:val="20"/>
              </w:rPr>
              <w:t>oute duration</w:t>
            </w:r>
          </w:p>
          <w:p w:rsidR="002A0427" w:rsidRPr="00820E4E" w:rsidRDefault="002A0427" w:rsidP="002A0427">
            <w:pPr>
              <w:jc w:val="center"/>
              <w:rPr>
                <w:rFonts w:cs="Cambria Math"/>
                <w:sz w:val="20"/>
              </w:rPr>
            </w:pPr>
            <w:r w:rsidRPr="00820E4E">
              <w:rPr>
                <w:rFonts w:cs="Cambria Math"/>
                <w:sz w:val="20"/>
              </w:rPr>
              <w:t>(</w:t>
            </w:r>
            <w:r w:rsidRPr="00CF0DCA">
              <w:rPr>
                <w:rFonts w:cs="Cambria Math"/>
                <w:i/>
                <w:sz w:val="20"/>
              </w:rPr>
              <w:t>T</w:t>
            </w:r>
            <w:r w:rsidRPr="00820E4E">
              <w:rPr>
                <w:rFonts w:cs="Cambria Math"/>
                <w:sz w:val="20"/>
              </w:rPr>
              <w:t>)</w:t>
            </w:r>
          </w:p>
        </w:tc>
        <w:tc>
          <w:tcPr>
            <w:tcW w:w="1985" w:type="dxa"/>
            <w:tcBorders>
              <w:top w:val="single" w:sz="4" w:space="0" w:color="auto"/>
              <w:bottom w:val="single" w:sz="4" w:space="0" w:color="auto"/>
            </w:tcBorders>
          </w:tcPr>
          <w:p w:rsidR="002A0427" w:rsidRPr="00820E4E" w:rsidRDefault="002A0427" w:rsidP="002A0427">
            <w:pPr>
              <w:jc w:val="center"/>
              <w:rPr>
                <w:rFonts w:cs="Cambria Math"/>
                <w:sz w:val="20"/>
              </w:rPr>
            </w:pPr>
            <w:r w:rsidRPr="00820E4E">
              <w:rPr>
                <w:rFonts w:cs="Cambria Math"/>
                <w:sz w:val="20"/>
              </w:rPr>
              <w:t>Depot location</w:t>
            </w:r>
          </w:p>
          <w:p w:rsidR="002A0427" w:rsidRPr="00820E4E" w:rsidRDefault="002A0427" w:rsidP="002A0427">
            <w:pPr>
              <w:jc w:val="center"/>
              <w:rPr>
                <w:rFonts w:cs="Cambria Math"/>
                <w:sz w:val="20"/>
              </w:rPr>
            </w:pPr>
            <w:r w:rsidRPr="00820E4E">
              <w:rPr>
                <w:rFonts w:cs="Cambria Math"/>
                <w:sz w:val="20"/>
              </w:rPr>
              <w:t>(</w:t>
            </w:r>
            <w:r w:rsidRPr="00CF0DCA">
              <w:rPr>
                <w:rFonts w:cs="Cambria Math"/>
                <w:i/>
                <w:sz w:val="20"/>
              </w:rPr>
              <w:t>D</w:t>
            </w:r>
            <w:r w:rsidRPr="00820E4E">
              <w:rPr>
                <w:rFonts w:cs="Cambria Math"/>
                <w:sz w:val="20"/>
              </w:rPr>
              <w:t>)</w:t>
            </w:r>
          </w:p>
        </w:tc>
        <w:tc>
          <w:tcPr>
            <w:tcW w:w="2267" w:type="dxa"/>
            <w:tcBorders>
              <w:top w:val="single" w:sz="4" w:space="0" w:color="auto"/>
              <w:bottom w:val="single" w:sz="4" w:space="0" w:color="auto"/>
            </w:tcBorders>
          </w:tcPr>
          <w:p w:rsidR="002A0427" w:rsidRPr="00820E4E" w:rsidRDefault="002A0427" w:rsidP="002A0427">
            <w:pPr>
              <w:jc w:val="center"/>
              <w:rPr>
                <w:rFonts w:cs="Cambria Math"/>
                <w:sz w:val="20"/>
              </w:rPr>
            </w:pPr>
            <w:r w:rsidRPr="00820E4E">
              <w:rPr>
                <w:sz w:val="20"/>
              </w:rPr>
              <w:t>Loading/Unloading time</w:t>
            </w:r>
          </w:p>
          <w:p w:rsidR="002A0427" w:rsidRPr="00820E4E" w:rsidRDefault="002A0427" w:rsidP="002A0427">
            <w:pPr>
              <w:jc w:val="center"/>
              <w:rPr>
                <w:sz w:val="20"/>
              </w:rPr>
            </w:pPr>
            <w:r w:rsidRPr="00820E4E">
              <w:rPr>
                <w:rFonts w:cs="Cambria Math"/>
                <w:sz w:val="20"/>
              </w:rPr>
              <w:t>(</w:t>
            </w:r>
            <w:r w:rsidRPr="00CF0DCA">
              <w:rPr>
                <w:rFonts w:cs="Cambria Math"/>
                <w:i/>
                <w:sz w:val="20"/>
              </w:rPr>
              <w:t>s</w:t>
            </w:r>
            <w:r w:rsidRPr="00820E4E">
              <w:rPr>
                <w:rFonts w:cs="Cambria Math"/>
                <w:sz w:val="20"/>
              </w:rPr>
              <w:t>)</w:t>
            </w:r>
          </w:p>
        </w:tc>
      </w:tr>
      <w:tr w:rsidR="002A0427" w:rsidTr="00497FA5">
        <w:tc>
          <w:tcPr>
            <w:tcW w:w="1276" w:type="dxa"/>
            <w:tcBorders>
              <w:top w:val="single" w:sz="4" w:space="0" w:color="auto"/>
            </w:tcBorders>
          </w:tcPr>
          <w:p w:rsidR="002A0427" w:rsidRPr="00820E4E" w:rsidRDefault="002A0427" w:rsidP="002A0427">
            <w:pPr>
              <w:jc w:val="both"/>
              <w:rPr>
                <w:rFonts w:cs="Cambria Math"/>
                <w:sz w:val="20"/>
              </w:rPr>
            </w:pPr>
            <w:r w:rsidRPr="00820E4E">
              <w:rPr>
                <w:rFonts w:cs="Cambria Math"/>
                <w:sz w:val="20"/>
              </w:rPr>
              <w:t>1</w:t>
            </w:r>
          </w:p>
        </w:tc>
        <w:tc>
          <w:tcPr>
            <w:tcW w:w="1843" w:type="dxa"/>
            <w:tcBorders>
              <w:top w:val="single" w:sz="4" w:space="0" w:color="auto"/>
            </w:tcBorders>
          </w:tcPr>
          <w:p w:rsidR="002A0427" w:rsidRPr="00820E4E" w:rsidRDefault="002A0427" w:rsidP="002A0427">
            <w:pPr>
              <w:jc w:val="center"/>
              <w:rPr>
                <w:rFonts w:cs="Cambria Math"/>
                <w:sz w:val="20"/>
              </w:rPr>
            </w:pPr>
            <w:r w:rsidRPr="00820E4E">
              <w:rPr>
                <w:rFonts w:cs="Cambria Math"/>
                <w:sz w:val="20"/>
              </w:rPr>
              <w:t>70</w:t>
            </w:r>
          </w:p>
        </w:tc>
        <w:tc>
          <w:tcPr>
            <w:tcW w:w="1984" w:type="dxa"/>
            <w:tcBorders>
              <w:top w:val="single" w:sz="4" w:space="0" w:color="auto"/>
            </w:tcBorders>
          </w:tcPr>
          <w:p w:rsidR="002A0427" w:rsidRPr="00820E4E" w:rsidRDefault="002A0427" w:rsidP="002A0427">
            <w:pPr>
              <w:jc w:val="center"/>
              <w:rPr>
                <w:rFonts w:cs="Cambria Math"/>
                <w:sz w:val="20"/>
              </w:rPr>
            </w:pPr>
            <w:r w:rsidRPr="00820E4E">
              <w:rPr>
                <w:rFonts w:cs="Cambria Math"/>
                <w:sz w:val="20"/>
              </w:rPr>
              <w:t>250</w:t>
            </w:r>
          </w:p>
        </w:tc>
        <w:tc>
          <w:tcPr>
            <w:tcW w:w="1985" w:type="dxa"/>
            <w:tcBorders>
              <w:top w:val="single" w:sz="4" w:space="0" w:color="auto"/>
            </w:tcBorders>
          </w:tcPr>
          <w:p w:rsidR="002A0427" w:rsidRPr="00820E4E" w:rsidRDefault="002A0427" w:rsidP="002A0427">
            <w:pPr>
              <w:jc w:val="center"/>
              <w:rPr>
                <w:rFonts w:cs="Cambria Math"/>
                <w:sz w:val="20"/>
              </w:rPr>
            </w:pPr>
            <w:r w:rsidRPr="00820E4E">
              <w:rPr>
                <w:rFonts w:cs="Cambria Math"/>
                <w:sz w:val="20"/>
              </w:rPr>
              <w:t>[50,50]</w:t>
            </w:r>
          </w:p>
        </w:tc>
        <w:tc>
          <w:tcPr>
            <w:tcW w:w="2267" w:type="dxa"/>
            <w:tcBorders>
              <w:top w:val="single" w:sz="4" w:space="0" w:color="auto"/>
            </w:tcBorders>
          </w:tcPr>
          <w:p w:rsidR="002A0427" w:rsidRPr="00820E4E" w:rsidRDefault="002A0427" w:rsidP="002A0427">
            <w:pPr>
              <w:jc w:val="center"/>
              <w:rPr>
                <w:rFonts w:cs="Cambria Math"/>
                <w:sz w:val="20"/>
              </w:rPr>
            </w:pPr>
            <w:r w:rsidRPr="00820E4E">
              <w:rPr>
                <w:rFonts w:cs="Cambria Math"/>
                <w:sz w:val="20"/>
              </w:rPr>
              <w:t>5</w:t>
            </w:r>
          </w:p>
        </w:tc>
      </w:tr>
      <w:tr w:rsidR="002A0427" w:rsidTr="00497FA5">
        <w:tc>
          <w:tcPr>
            <w:tcW w:w="1276" w:type="dxa"/>
          </w:tcPr>
          <w:p w:rsidR="002A0427" w:rsidRPr="00820E4E" w:rsidRDefault="002A0427" w:rsidP="002A0427">
            <w:pPr>
              <w:jc w:val="both"/>
              <w:rPr>
                <w:rFonts w:cs="Cambria Math"/>
                <w:sz w:val="20"/>
              </w:rPr>
            </w:pPr>
            <w:r w:rsidRPr="00820E4E">
              <w:rPr>
                <w:rFonts w:cs="Cambria Math"/>
                <w:sz w:val="20"/>
              </w:rPr>
              <w:t>2</w:t>
            </w:r>
          </w:p>
        </w:tc>
        <w:tc>
          <w:tcPr>
            <w:tcW w:w="1843" w:type="dxa"/>
          </w:tcPr>
          <w:p w:rsidR="002A0427" w:rsidRPr="00820E4E" w:rsidRDefault="002A0427" w:rsidP="002A0427">
            <w:pPr>
              <w:jc w:val="center"/>
              <w:rPr>
                <w:rFonts w:cs="Cambria Math"/>
                <w:sz w:val="20"/>
              </w:rPr>
            </w:pPr>
            <w:r w:rsidRPr="00820E4E">
              <w:rPr>
                <w:rFonts w:cs="Cambria Math"/>
                <w:sz w:val="20"/>
              </w:rPr>
              <w:t>100</w:t>
            </w:r>
          </w:p>
        </w:tc>
        <w:tc>
          <w:tcPr>
            <w:tcW w:w="1984" w:type="dxa"/>
          </w:tcPr>
          <w:p w:rsidR="002A0427" w:rsidRPr="00820E4E" w:rsidRDefault="002A0427" w:rsidP="002A0427">
            <w:pPr>
              <w:jc w:val="center"/>
              <w:rPr>
                <w:rFonts w:cs="Cambria Math"/>
                <w:sz w:val="20"/>
              </w:rPr>
            </w:pPr>
            <w:r w:rsidRPr="00820E4E">
              <w:rPr>
                <w:rFonts w:cs="Cambria Math"/>
                <w:sz w:val="20"/>
              </w:rPr>
              <w:t>265</w:t>
            </w:r>
          </w:p>
        </w:tc>
        <w:tc>
          <w:tcPr>
            <w:tcW w:w="1985" w:type="dxa"/>
          </w:tcPr>
          <w:p w:rsidR="002A0427" w:rsidRPr="00820E4E" w:rsidRDefault="002A0427" w:rsidP="002A0427">
            <w:pPr>
              <w:jc w:val="center"/>
              <w:rPr>
                <w:rFonts w:cs="Cambria Math"/>
                <w:sz w:val="20"/>
              </w:rPr>
            </w:pPr>
            <w:r w:rsidRPr="00820E4E">
              <w:rPr>
                <w:rFonts w:cs="Cambria Math"/>
                <w:sz w:val="20"/>
              </w:rPr>
              <w:t>[50,60]</w:t>
            </w:r>
          </w:p>
        </w:tc>
        <w:tc>
          <w:tcPr>
            <w:tcW w:w="2267" w:type="dxa"/>
          </w:tcPr>
          <w:p w:rsidR="002A0427" w:rsidRPr="00820E4E" w:rsidRDefault="002A0427" w:rsidP="002A0427">
            <w:pPr>
              <w:jc w:val="center"/>
              <w:rPr>
                <w:rFonts w:cs="Cambria Math"/>
                <w:sz w:val="20"/>
              </w:rPr>
            </w:pPr>
            <w:r w:rsidRPr="00820E4E">
              <w:rPr>
                <w:rFonts w:cs="Cambria Math"/>
                <w:sz w:val="20"/>
              </w:rPr>
              <w:t>7</w:t>
            </w:r>
          </w:p>
        </w:tc>
      </w:tr>
      <w:tr w:rsidR="002A0427" w:rsidTr="00497FA5">
        <w:tc>
          <w:tcPr>
            <w:tcW w:w="1276" w:type="dxa"/>
            <w:tcBorders>
              <w:bottom w:val="single" w:sz="4" w:space="0" w:color="auto"/>
            </w:tcBorders>
          </w:tcPr>
          <w:p w:rsidR="002A0427" w:rsidRPr="00820E4E" w:rsidRDefault="002A0427" w:rsidP="002A0427">
            <w:pPr>
              <w:jc w:val="both"/>
              <w:rPr>
                <w:rFonts w:cs="Cambria Math"/>
                <w:sz w:val="20"/>
              </w:rPr>
            </w:pPr>
            <w:r w:rsidRPr="00820E4E">
              <w:rPr>
                <w:rFonts w:cs="Cambria Math"/>
                <w:sz w:val="20"/>
              </w:rPr>
              <w:t>3</w:t>
            </w:r>
          </w:p>
        </w:tc>
        <w:tc>
          <w:tcPr>
            <w:tcW w:w="1843" w:type="dxa"/>
            <w:tcBorders>
              <w:bottom w:val="single" w:sz="4" w:space="0" w:color="auto"/>
            </w:tcBorders>
          </w:tcPr>
          <w:p w:rsidR="002A0427" w:rsidRPr="00820E4E" w:rsidRDefault="002A0427" w:rsidP="002A0427">
            <w:pPr>
              <w:jc w:val="center"/>
              <w:rPr>
                <w:rFonts w:cs="Cambria Math"/>
                <w:sz w:val="20"/>
              </w:rPr>
            </w:pPr>
            <w:r w:rsidRPr="00820E4E">
              <w:rPr>
                <w:rFonts w:cs="Cambria Math"/>
                <w:sz w:val="20"/>
              </w:rPr>
              <w:t>120</w:t>
            </w:r>
          </w:p>
        </w:tc>
        <w:tc>
          <w:tcPr>
            <w:tcW w:w="1984" w:type="dxa"/>
            <w:tcBorders>
              <w:bottom w:val="single" w:sz="4" w:space="0" w:color="auto"/>
            </w:tcBorders>
          </w:tcPr>
          <w:p w:rsidR="002A0427" w:rsidRPr="00820E4E" w:rsidRDefault="002A0427" w:rsidP="002A0427">
            <w:pPr>
              <w:jc w:val="center"/>
              <w:rPr>
                <w:rFonts w:cs="Cambria Math"/>
                <w:sz w:val="20"/>
              </w:rPr>
            </w:pPr>
            <w:r w:rsidRPr="00820E4E">
              <w:rPr>
                <w:rFonts w:cs="Cambria Math"/>
                <w:sz w:val="20"/>
              </w:rPr>
              <w:t>280</w:t>
            </w:r>
          </w:p>
        </w:tc>
        <w:tc>
          <w:tcPr>
            <w:tcW w:w="1985" w:type="dxa"/>
            <w:tcBorders>
              <w:bottom w:val="single" w:sz="4" w:space="0" w:color="auto"/>
            </w:tcBorders>
          </w:tcPr>
          <w:p w:rsidR="002A0427" w:rsidRPr="00820E4E" w:rsidRDefault="002A0427" w:rsidP="002A0427">
            <w:pPr>
              <w:jc w:val="center"/>
              <w:rPr>
                <w:rFonts w:cs="Cambria Math"/>
                <w:sz w:val="20"/>
              </w:rPr>
            </w:pPr>
            <w:r w:rsidRPr="00820E4E">
              <w:rPr>
                <w:rFonts w:cs="Cambria Math"/>
                <w:sz w:val="20"/>
              </w:rPr>
              <w:t>[50,70]</w:t>
            </w:r>
          </w:p>
        </w:tc>
        <w:tc>
          <w:tcPr>
            <w:tcW w:w="2267" w:type="dxa"/>
            <w:tcBorders>
              <w:bottom w:val="single" w:sz="4" w:space="0" w:color="auto"/>
            </w:tcBorders>
          </w:tcPr>
          <w:p w:rsidR="002A0427" w:rsidRPr="00820E4E" w:rsidRDefault="002A0427" w:rsidP="002A0427">
            <w:pPr>
              <w:jc w:val="center"/>
              <w:rPr>
                <w:rFonts w:cs="Cambria Math"/>
                <w:sz w:val="20"/>
              </w:rPr>
            </w:pPr>
            <w:r w:rsidRPr="00820E4E">
              <w:rPr>
                <w:rFonts w:cs="Cambria Math"/>
                <w:sz w:val="20"/>
              </w:rPr>
              <w:t>9</w:t>
            </w:r>
          </w:p>
        </w:tc>
      </w:tr>
    </w:tbl>
    <w:p w:rsidR="00073706" w:rsidRDefault="00073706" w:rsidP="009F61CF">
      <w:pPr>
        <w:spacing w:after="0"/>
        <w:rPr>
          <w:b/>
        </w:rPr>
      </w:pPr>
    </w:p>
    <w:p w:rsidR="00FF3DF8" w:rsidRDefault="00FF3DF8" w:rsidP="009F61CF">
      <w:pPr>
        <w:spacing w:after="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150"/>
        <w:gridCol w:w="3060"/>
      </w:tblGrid>
      <w:tr w:rsidR="00023FD1" w:rsidTr="00DA4B35">
        <w:trPr>
          <w:trHeight w:val="2978"/>
        </w:trPr>
        <w:tc>
          <w:tcPr>
            <w:tcW w:w="3150" w:type="dxa"/>
          </w:tcPr>
          <w:p w:rsidR="00023FD1" w:rsidRDefault="00023FD1" w:rsidP="006F30EA">
            <w:pPr>
              <w:rPr>
                <w:b/>
              </w:rPr>
            </w:pPr>
            <w:bookmarkStart w:id="393" w:name="OLE_LINK261"/>
            <w:bookmarkStart w:id="394" w:name="OLE_LINK262"/>
            <w:bookmarkStart w:id="395" w:name="OLE_LINK263"/>
          </w:p>
          <w:p w:rsidR="00023FD1" w:rsidRDefault="00A174B0" w:rsidP="00811009">
            <w:pPr>
              <w:jc w:val="center"/>
              <w:rPr>
                <w:b/>
              </w:rPr>
            </w:pPr>
            <w:r w:rsidRPr="00A174B0">
              <w:rPr>
                <w:b/>
                <w:noProof/>
              </w:rPr>
              <w:drawing>
                <wp:inline distT="0" distB="0" distL="0" distR="0">
                  <wp:extent cx="1667865" cy="1670005"/>
                  <wp:effectExtent l="19050" t="0" r="853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70080" cy="1672222"/>
                          </a:xfrm>
                          <a:prstGeom prst="rect">
                            <a:avLst/>
                          </a:prstGeom>
                          <a:noFill/>
                          <a:ln w="9525">
                            <a:noFill/>
                            <a:miter lim="800000"/>
                            <a:headEnd/>
                            <a:tailEnd/>
                          </a:ln>
                        </pic:spPr>
                      </pic:pic>
                    </a:graphicData>
                  </a:graphic>
                </wp:inline>
              </w:drawing>
            </w:r>
          </w:p>
        </w:tc>
        <w:tc>
          <w:tcPr>
            <w:tcW w:w="3150" w:type="dxa"/>
          </w:tcPr>
          <w:p w:rsidR="00023FD1" w:rsidRDefault="00023FD1" w:rsidP="00A174B0">
            <w:pPr>
              <w:rPr>
                <w:b/>
              </w:rPr>
            </w:pPr>
          </w:p>
          <w:p w:rsidR="00023FD1" w:rsidRDefault="00A174B0" w:rsidP="00023FD1">
            <w:pPr>
              <w:jc w:val="center"/>
              <w:rPr>
                <w:b/>
              </w:rPr>
            </w:pPr>
            <w:r w:rsidRPr="00A174B0">
              <w:rPr>
                <w:b/>
                <w:noProof/>
              </w:rPr>
              <w:drawing>
                <wp:inline distT="0" distB="0" distL="0" distR="0">
                  <wp:extent cx="1685391" cy="16605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87215" cy="1662322"/>
                          </a:xfrm>
                          <a:prstGeom prst="rect">
                            <a:avLst/>
                          </a:prstGeom>
                          <a:noFill/>
                          <a:ln w="9525">
                            <a:noFill/>
                            <a:miter lim="800000"/>
                            <a:headEnd/>
                            <a:tailEnd/>
                          </a:ln>
                        </pic:spPr>
                      </pic:pic>
                    </a:graphicData>
                  </a:graphic>
                </wp:inline>
              </w:drawing>
            </w:r>
          </w:p>
        </w:tc>
        <w:tc>
          <w:tcPr>
            <w:tcW w:w="3060" w:type="dxa"/>
          </w:tcPr>
          <w:p w:rsidR="00023FD1" w:rsidRDefault="00023FD1" w:rsidP="006F30EA">
            <w:pPr>
              <w:rPr>
                <w:b/>
              </w:rPr>
            </w:pPr>
          </w:p>
          <w:p w:rsidR="00023FD1" w:rsidRDefault="00811009" w:rsidP="00811009">
            <w:pPr>
              <w:jc w:val="center"/>
              <w:rPr>
                <w:b/>
              </w:rPr>
            </w:pPr>
            <w:r w:rsidRPr="00811009">
              <w:rPr>
                <w:b/>
                <w:noProof/>
              </w:rPr>
              <w:drawing>
                <wp:inline distT="0" distB="0" distL="0" distR="0">
                  <wp:extent cx="1689634" cy="1660551"/>
                  <wp:effectExtent l="19050" t="0" r="5816"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89850" cy="1660763"/>
                          </a:xfrm>
                          <a:prstGeom prst="rect">
                            <a:avLst/>
                          </a:prstGeom>
                          <a:noFill/>
                          <a:ln w="9525">
                            <a:noFill/>
                            <a:miter lim="800000"/>
                            <a:headEnd/>
                            <a:tailEnd/>
                          </a:ln>
                        </pic:spPr>
                      </pic:pic>
                    </a:graphicData>
                  </a:graphic>
                </wp:inline>
              </w:drawing>
            </w:r>
          </w:p>
        </w:tc>
      </w:tr>
      <w:tr w:rsidR="00614546" w:rsidTr="00DA4B35">
        <w:trPr>
          <w:trHeight w:val="440"/>
        </w:trPr>
        <w:tc>
          <w:tcPr>
            <w:tcW w:w="3150" w:type="dxa"/>
          </w:tcPr>
          <w:p w:rsidR="00614546" w:rsidRPr="00DA4B35" w:rsidRDefault="00614546" w:rsidP="00614546">
            <w:pPr>
              <w:jc w:val="center"/>
              <w:rPr>
                <w:sz w:val="20"/>
              </w:rPr>
            </w:pPr>
            <w:r w:rsidRPr="00DA4B35">
              <w:rPr>
                <w:sz w:val="20"/>
              </w:rPr>
              <w:t>D1</w:t>
            </w:r>
          </w:p>
        </w:tc>
        <w:tc>
          <w:tcPr>
            <w:tcW w:w="3150" w:type="dxa"/>
          </w:tcPr>
          <w:p w:rsidR="00614546" w:rsidRPr="00DA4B35" w:rsidRDefault="00614546" w:rsidP="00614546">
            <w:pPr>
              <w:jc w:val="center"/>
              <w:rPr>
                <w:sz w:val="20"/>
              </w:rPr>
            </w:pPr>
            <w:r w:rsidRPr="00DA4B35">
              <w:rPr>
                <w:sz w:val="20"/>
              </w:rPr>
              <w:t>D2</w:t>
            </w:r>
          </w:p>
        </w:tc>
        <w:tc>
          <w:tcPr>
            <w:tcW w:w="3060" w:type="dxa"/>
          </w:tcPr>
          <w:p w:rsidR="00614546" w:rsidRPr="00DA4B35" w:rsidRDefault="00614546" w:rsidP="00614546">
            <w:pPr>
              <w:jc w:val="center"/>
              <w:rPr>
                <w:sz w:val="20"/>
              </w:rPr>
            </w:pPr>
            <w:r w:rsidRPr="00DA4B35">
              <w:rPr>
                <w:sz w:val="20"/>
              </w:rPr>
              <w:t>D3</w:t>
            </w:r>
          </w:p>
        </w:tc>
      </w:tr>
      <w:tr w:rsidR="00BB0673" w:rsidTr="00DA4B35">
        <w:tc>
          <w:tcPr>
            <w:tcW w:w="9360" w:type="dxa"/>
            <w:gridSpan w:val="3"/>
          </w:tcPr>
          <w:p w:rsidR="00BB0673" w:rsidRDefault="00BB0673" w:rsidP="00BF1F6F">
            <w:pPr>
              <w:jc w:val="both"/>
              <w:rPr>
                <w:b/>
              </w:rPr>
            </w:pPr>
            <w:r w:rsidRPr="00BD3852">
              <w:rPr>
                <w:b/>
                <w:sz w:val="20"/>
              </w:rPr>
              <w:t>Figure 2</w:t>
            </w:r>
            <w:r w:rsidR="00BF1F6F">
              <w:rPr>
                <w:b/>
                <w:sz w:val="20"/>
              </w:rPr>
              <w:t>.</w:t>
            </w:r>
            <w:r w:rsidRPr="00BD3852">
              <w:rPr>
                <w:b/>
                <w:sz w:val="20"/>
              </w:rPr>
              <w:t xml:space="preserve"> </w:t>
            </w:r>
            <w:r w:rsidRPr="00BD3852">
              <w:rPr>
                <w:sz w:val="20"/>
              </w:rPr>
              <w:t>Illustration of the depot location levels (</w:t>
            </w:r>
            <w:r w:rsidRPr="00BD3852">
              <w:rPr>
                <w:i/>
                <w:sz w:val="20"/>
              </w:rPr>
              <w:t xml:space="preserve">D1, D2 </w:t>
            </w:r>
            <w:r w:rsidRPr="00BD3852">
              <w:rPr>
                <w:sz w:val="20"/>
              </w:rPr>
              <w:t xml:space="preserve">and </w:t>
            </w:r>
            <w:r w:rsidRPr="00BD3852">
              <w:rPr>
                <w:i/>
                <w:sz w:val="20"/>
              </w:rPr>
              <w:t>D3</w:t>
            </w:r>
            <w:r w:rsidRPr="00BD3852">
              <w:rPr>
                <w:sz w:val="20"/>
              </w:rPr>
              <w:t xml:space="preserve">) for a problem instance of the </w:t>
            </w:r>
            <w:r w:rsidRPr="00BD3852">
              <w:rPr>
                <w:i/>
                <w:sz w:val="20"/>
              </w:rPr>
              <w:t>RC</w:t>
            </w:r>
            <w:r w:rsidRPr="00BD3852">
              <w:rPr>
                <w:sz w:val="20"/>
              </w:rPr>
              <w:t xml:space="preserve"> class</w:t>
            </w:r>
            <w:r w:rsidR="00FF3DF8" w:rsidRPr="00BD3852">
              <w:rPr>
                <w:sz w:val="20"/>
              </w:rPr>
              <w:t xml:space="preserve"> (2</w:t>
            </w:r>
            <w:r w:rsidR="00FF3DF8" w:rsidRPr="00BD3852">
              <w:rPr>
                <w:rFonts w:eastAsia="Arial Unicode MS" w:hAnsi="Arial Unicode MS" w:cs="Arial Unicode MS"/>
                <w:sz w:val="20"/>
              </w:rPr>
              <w:t>⋅</w:t>
            </w:r>
            <w:r w:rsidR="00FF3DF8" w:rsidRPr="00BD3852">
              <w:rPr>
                <w:rFonts w:eastAsia="Arial Unicode MS" w:cs="Arial Unicode MS"/>
                <w:i/>
                <w:sz w:val="20"/>
              </w:rPr>
              <w:t>n</w:t>
            </w:r>
            <w:r w:rsidR="00DA4B35" w:rsidRPr="00DA4B35">
              <w:rPr>
                <w:rFonts w:eastAsia="Arial Unicode MS" w:cs="Arial Unicode MS"/>
                <w:sz w:val="20"/>
              </w:rPr>
              <w:t>=</w:t>
            </w:r>
            <w:r w:rsidR="00FF3DF8" w:rsidRPr="00BD3852">
              <w:rPr>
                <w:sz w:val="20"/>
              </w:rPr>
              <w:t>56)</w:t>
            </w:r>
            <w:r w:rsidRPr="00BD3852">
              <w:rPr>
                <w:sz w:val="20"/>
              </w:rPr>
              <w:t xml:space="preserve">. The depot is illustrated as a </w:t>
            </w:r>
            <w:r w:rsidR="00ED5E4A" w:rsidRPr="00BD3852">
              <w:rPr>
                <w:sz w:val="20"/>
              </w:rPr>
              <w:t>square</w:t>
            </w:r>
            <w:r w:rsidR="00DA72E7" w:rsidRPr="00BD3852">
              <w:rPr>
                <w:sz w:val="20"/>
              </w:rPr>
              <w:t>.</w:t>
            </w:r>
          </w:p>
        </w:tc>
      </w:tr>
    </w:tbl>
    <w:p w:rsidR="00A174B0" w:rsidRDefault="00A174B0" w:rsidP="006E3CB8">
      <w:pPr>
        <w:spacing w:after="0"/>
        <w:jc w:val="both"/>
      </w:pPr>
      <w:bookmarkStart w:id="396" w:name="OLE_LINK712"/>
      <w:bookmarkStart w:id="397" w:name="OLE_LINK713"/>
      <w:bookmarkStart w:id="398" w:name="OLE_LINK731"/>
      <w:bookmarkEnd w:id="294"/>
      <w:bookmarkEnd w:id="295"/>
      <w:bookmarkEnd w:id="337"/>
      <w:bookmarkEnd w:id="338"/>
      <w:bookmarkEnd w:id="357"/>
      <w:bookmarkEnd w:id="358"/>
      <w:bookmarkEnd w:id="378"/>
      <w:bookmarkEnd w:id="379"/>
      <w:bookmarkEnd w:id="380"/>
      <w:bookmarkEnd w:id="381"/>
      <w:bookmarkEnd w:id="382"/>
      <w:bookmarkEnd w:id="393"/>
      <w:bookmarkEnd w:id="394"/>
      <w:bookmarkEnd w:id="395"/>
    </w:p>
    <w:p w:rsidR="004960F9" w:rsidRPr="008A1195" w:rsidRDefault="00626B5F" w:rsidP="00F00EA5">
      <w:pPr>
        <w:spacing w:after="0"/>
        <w:ind w:firstLine="720"/>
        <w:jc w:val="both"/>
      </w:pPr>
      <w:r>
        <w:t xml:space="preserve">For each </w:t>
      </w:r>
      <w:r w:rsidRPr="008A1195">
        <w:t>generated graph all combinations of</w:t>
      </w:r>
      <w:r w:rsidR="006E3CB8" w:rsidRPr="008A1195">
        <w:t xml:space="preserve"> parameter levels are examined, and a full fa</w:t>
      </w:r>
      <w:r w:rsidR="00D17631">
        <w:t>ctorial experiment is performed</w:t>
      </w:r>
      <w:r w:rsidR="004B764B" w:rsidRPr="008A1195">
        <w:t xml:space="preserve">. </w:t>
      </w:r>
      <w:bookmarkStart w:id="399" w:name="OLE_LINK287"/>
      <w:bookmarkStart w:id="400" w:name="OLE_LINK288"/>
      <w:bookmarkEnd w:id="396"/>
      <w:bookmarkEnd w:id="397"/>
      <w:bookmarkEnd w:id="398"/>
      <w:r w:rsidR="0091145E" w:rsidRPr="008A1195">
        <w:t xml:space="preserve">For each </w:t>
      </w:r>
      <w:r w:rsidR="00EA31D3" w:rsidRPr="008A1195">
        <w:t>of the generated</w:t>
      </w:r>
      <w:r w:rsidR="00C34ED3" w:rsidRPr="008A1195">
        <w:t xml:space="preserve"> </w:t>
      </w:r>
      <w:r w:rsidR="0091145E" w:rsidRPr="008A1195">
        <w:t>graphs</w:t>
      </w:r>
      <w:r w:rsidR="00575415" w:rsidRPr="008A1195">
        <w:t>,</w:t>
      </w:r>
      <w:bookmarkStart w:id="401" w:name="OLE_LINK410"/>
      <w:bookmarkStart w:id="402" w:name="OLE_LINK444"/>
      <w:r w:rsidR="00C34ED3" w:rsidRPr="008A1195">
        <w:t xml:space="preserve"> </w:t>
      </w:r>
      <w:r w:rsidR="00EA31D3" w:rsidRPr="008A1195">
        <w:t>w</w:t>
      </w:r>
      <w:r w:rsidR="0091145E" w:rsidRPr="008A1195">
        <w:t>e examine</w:t>
      </w:r>
      <w:r w:rsidR="00497FA5" w:rsidRPr="008A1195">
        <w:t xml:space="preserve"> </w:t>
      </w:r>
      <w:bookmarkStart w:id="403" w:name="OLE_LINK222"/>
      <w:bookmarkStart w:id="404" w:name="OLE_LINK326"/>
      <w:bookmarkStart w:id="405" w:name="OLE_LINK374"/>
      <w:r w:rsidR="00EA31D3" w:rsidRPr="008A1195">
        <w:t>3</w:t>
      </w:r>
      <w:r w:rsidR="00EA31D3" w:rsidRPr="008A1195">
        <w:rPr>
          <w:vertAlign w:val="superscript"/>
        </w:rPr>
        <w:t>3</w:t>
      </w:r>
      <w:bookmarkEnd w:id="403"/>
      <w:bookmarkEnd w:id="404"/>
      <w:bookmarkEnd w:id="405"/>
      <w:r w:rsidR="00497FA5" w:rsidRPr="008A1195">
        <w:rPr>
          <w:vertAlign w:val="superscript"/>
        </w:rPr>
        <w:t xml:space="preserve"> </w:t>
      </w:r>
      <w:r w:rsidR="00EA31D3" w:rsidRPr="008A1195">
        <w:t xml:space="preserve">combinations </w:t>
      </w:r>
      <w:r w:rsidR="00575415" w:rsidRPr="008A1195">
        <w:t xml:space="preserve">to account for all </w:t>
      </w:r>
      <w:r w:rsidR="00EA31D3" w:rsidRPr="008A1195">
        <w:t>parameter</w:t>
      </w:r>
      <w:r w:rsidR="00575415" w:rsidRPr="008A1195">
        <w:t>s and</w:t>
      </w:r>
      <w:r w:rsidR="00EA31D3" w:rsidRPr="008A1195">
        <w:t xml:space="preserve"> levels for the PDP setting</w:t>
      </w:r>
      <w:r w:rsidR="00575415" w:rsidRPr="008A1195">
        <w:t>,</w:t>
      </w:r>
      <w:r w:rsidR="00C34ED3" w:rsidRPr="008A1195">
        <w:t xml:space="preserve"> </w:t>
      </w:r>
      <w:r w:rsidR="00EA31D3" w:rsidRPr="008A1195">
        <w:t>and 3</w:t>
      </w:r>
      <w:r w:rsidR="00EA31D3" w:rsidRPr="008A1195">
        <w:rPr>
          <w:vertAlign w:val="superscript"/>
        </w:rPr>
        <w:t>4</w:t>
      </w:r>
      <w:r w:rsidR="00EA31D3" w:rsidRPr="008A1195">
        <w:t xml:space="preserve"> combinations for the VRPCD setting</w:t>
      </w:r>
      <w:r w:rsidR="0091145E" w:rsidRPr="008A1195">
        <w:t xml:space="preserve">, leading to </w:t>
      </w:r>
      <w:bookmarkStart w:id="406" w:name="OLE_LINK79"/>
      <w:bookmarkStart w:id="407" w:name="OLE_LINK80"/>
      <w:bookmarkStart w:id="408" w:name="OLE_LINK81"/>
      <w:r w:rsidR="0091145E" w:rsidRPr="008A1195">
        <w:t xml:space="preserve">a total of </w:t>
      </w:r>
      <w:bookmarkStart w:id="409" w:name="OLE_LINK436"/>
      <w:bookmarkStart w:id="410" w:name="OLE_LINK437"/>
      <w:r w:rsidR="0091145E" w:rsidRPr="008A1195">
        <w:t>972</w:t>
      </w:r>
      <w:bookmarkEnd w:id="406"/>
      <w:bookmarkEnd w:id="407"/>
      <w:bookmarkEnd w:id="408"/>
      <w:r w:rsidR="00497FA5" w:rsidRPr="008A1195">
        <w:t xml:space="preserve"> </w:t>
      </w:r>
      <w:bookmarkStart w:id="411" w:name="OLE_LINK415"/>
      <w:bookmarkStart w:id="412" w:name="OLE_LINK416"/>
      <w:bookmarkStart w:id="413" w:name="OLE_LINK451"/>
      <w:r w:rsidR="00497FA5" w:rsidRPr="008A1195">
        <w:t>(36</w:t>
      </w:r>
      <w:bookmarkStart w:id="414" w:name="OLE_LINK824"/>
      <w:bookmarkStart w:id="415" w:name="OLE_LINK825"/>
      <w:bookmarkStart w:id="416" w:name="OLE_LINK826"/>
      <w:r w:rsidR="005C1FDA" w:rsidRPr="008A1195">
        <w:rPr>
          <w:rFonts w:eastAsia="Arial Unicode MS" w:cs="Arial Unicode MS"/>
        </w:rPr>
        <w:t>·</w:t>
      </w:r>
      <w:bookmarkEnd w:id="414"/>
      <w:bookmarkEnd w:id="415"/>
      <w:bookmarkEnd w:id="416"/>
      <w:r w:rsidR="00497FA5" w:rsidRPr="008A1195">
        <w:t>3</w:t>
      </w:r>
      <w:r w:rsidR="00497FA5" w:rsidRPr="008A1195">
        <w:rPr>
          <w:vertAlign w:val="superscript"/>
        </w:rPr>
        <w:t>3</w:t>
      </w:r>
      <w:r w:rsidR="00497FA5" w:rsidRPr="008A1195">
        <w:t>)</w:t>
      </w:r>
      <w:bookmarkEnd w:id="411"/>
      <w:bookmarkEnd w:id="412"/>
      <w:bookmarkEnd w:id="413"/>
      <w:r w:rsidR="00497FA5" w:rsidRPr="008A1195">
        <w:t xml:space="preserve"> </w:t>
      </w:r>
      <w:r w:rsidR="00575415" w:rsidRPr="008A1195">
        <w:t xml:space="preserve">problem </w:t>
      </w:r>
      <w:r w:rsidR="0091145E" w:rsidRPr="008A1195">
        <w:t>instances for the PDP</w:t>
      </w:r>
      <w:bookmarkEnd w:id="409"/>
      <w:bookmarkEnd w:id="410"/>
      <w:r w:rsidR="00EA31D3" w:rsidRPr="008A1195">
        <w:t xml:space="preserve"> and </w:t>
      </w:r>
      <w:r w:rsidR="0066317D" w:rsidRPr="008A1195">
        <w:t xml:space="preserve">2916 </w:t>
      </w:r>
      <w:r w:rsidR="00497FA5" w:rsidRPr="008A1195">
        <w:t>(36</w:t>
      </w:r>
      <w:r w:rsidR="005C1FDA" w:rsidRPr="008A1195">
        <w:rPr>
          <w:rFonts w:eastAsia="Arial Unicode MS" w:cs="Arial Unicode MS"/>
        </w:rPr>
        <w:t>·</w:t>
      </w:r>
      <w:r w:rsidR="00497FA5" w:rsidRPr="008A1195">
        <w:t>3</w:t>
      </w:r>
      <w:r w:rsidR="00497FA5" w:rsidRPr="008A1195">
        <w:rPr>
          <w:vertAlign w:val="superscript"/>
        </w:rPr>
        <w:t>4</w:t>
      </w:r>
      <w:r w:rsidR="00497FA5" w:rsidRPr="008A1195">
        <w:t xml:space="preserve">) </w:t>
      </w:r>
      <w:r w:rsidR="00575415" w:rsidRPr="008A1195">
        <w:t xml:space="preserve">problem </w:t>
      </w:r>
      <w:r w:rsidR="00EA31D3" w:rsidRPr="008A1195">
        <w:t>instances for the VRPCD.</w:t>
      </w:r>
      <w:bookmarkStart w:id="417" w:name="OLE_LINK60"/>
      <w:bookmarkStart w:id="418" w:name="OLE_LINK61"/>
      <w:bookmarkStart w:id="419" w:name="OLE_LINK64"/>
      <w:bookmarkStart w:id="420" w:name="OLE_LINK147"/>
      <w:bookmarkStart w:id="421" w:name="OLE_LINK148"/>
      <w:bookmarkStart w:id="422" w:name="OLE_LINK144"/>
      <w:bookmarkStart w:id="423" w:name="OLE_LINK145"/>
      <w:bookmarkEnd w:id="296"/>
      <w:bookmarkEnd w:id="297"/>
      <w:bookmarkEnd w:id="399"/>
      <w:bookmarkEnd w:id="400"/>
      <w:bookmarkEnd w:id="401"/>
      <w:bookmarkEnd w:id="402"/>
    </w:p>
    <w:p w:rsidR="00023FD1" w:rsidRDefault="00FE1641" w:rsidP="00F00EA5">
      <w:pPr>
        <w:spacing w:after="0"/>
        <w:ind w:firstLine="720"/>
        <w:jc w:val="both"/>
      </w:pPr>
      <w:r w:rsidRPr="00647C50">
        <w:t xml:space="preserve">We define </w:t>
      </w:r>
      <w:r w:rsidRPr="00647C50">
        <w:rPr>
          <w:i/>
          <w:lang w:val="el-GR"/>
        </w:rPr>
        <w:t>λ</w:t>
      </w:r>
      <w:r>
        <w:rPr>
          <w:i/>
          <w:vertAlign w:val="subscript"/>
        </w:rPr>
        <w:t xml:space="preserve"> </w:t>
      </w:r>
      <w:r w:rsidRPr="00647C50">
        <w:t xml:space="preserve">as a measure of the relative performance of the two strategies examined. </w:t>
      </w:r>
      <w:r w:rsidR="00E57574">
        <w:t xml:space="preserve">Let </w:t>
      </w:r>
      <w:r w:rsidR="00E57574" w:rsidRPr="00FE1641">
        <w:rPr>
          <w:i/>
          <w:lang w:val="el-GR"/>
        </w:rPr>
        <w:t>λ</w:t>
      </w:r>
      <w:r w:rsidR="00E57574">
        <w:t xml:space="preserve"> </w:t>
      </w:r>
      <w:r>
        <w:t>be</w:t>
      </w:r>
      <w:r w:rsidR="00E57574">
        <w:t xml:space="preserve"> the ratio of the </w:t>
      </w:r>
      <w:r>
        <w:t xml:space="preserve">PDP objective value </w:t>
      </w:r>
      <w:r w:rsidRPr="00FE1641">
        <w:t>over</w:t>
      </w:r>
      <w:r>
        <w:t xml:space="preserve"> the </w:t>
      </w:r>
      <w:r w:rsidR="00E57574">
        <w:t xml:space="preserve">VRPCD </w:t>
      </w:r>
      <w:r w:rsidR="00FA6675">
        <w:t xml:space="preserve">objective value. </w:t>
      </w:r>
      <w:r>
        <w:t xml:space="preserve">In the remainder of the paper, we will consider </w:t>
      </w:r>
      <w:r w:rsidRPr="00FE1641">
        <w:rPr>
          <w:i/>
          <w:lang w:val="el-GR"/>
        </w:rPr>
        <w:t>λ</w:t>
      </w:r>
      <w:r w:rsidRPr="00FE1641">
        <w:t xml:space="preserve"> </w:t>
      </w:r>
      <w:r>
        <w:t xml:space="preserve">as </w:t>
      </w:r>
      <w:r w:rsidRPr="00647C50">
        <w:t xml:space="preserve">the average </w:t>
      </w:r>
      <w:bookmarkStart w:id="424" w:name="OLE_LINK184"/>
      <w:bookmarkStart w:id="425" w:name="OLE_LINK185"/>
      <w:bookmarkStart w:id="426" w:name="OLE_LINK186"/>
      <w:bookmarkStart w:id="427" w:name="OLE_LINK187"/>
      <w:r w:rsidR="00F909C0">
        <w:t xml:space="preserve">ratio of the </w:t>
      </w:r>
      <w:r>
        <w:t xml:space="preserve">PDP objective value </w:t>
      </w:r>
      <w:r w:rsidR="007251FF">
        <w:t>(</w:t>
      </w:r>
      <m:oMath>
        <m:sSup>
          <m:sSupPr>
            <m:ctrlPr>
              <w:rPr>
                <w:rFonts w:ascii="Cambria Math" w:hAnsi="Cambria Math"/>
                <w:i/>
              </w:rPr>
            </m:ctrlPr>
          </m:sSupPr>
          <m:e>
            <m:r>
              <w:rPr>
                <w:rFonts w:ascii="Cambria Math" w:hAnsi="Cambria Math"/>
              </w:rPr>
              <m:t>z</m:t>
            </m:r>
          </m:e>
          <m:sup>
            <m:r>
              <w:rPr>
                <w:rFonts w:ascii="Cambria Math" w:hAnsi="Cambria Math"/>
              </w:rPr>
              <m:t>PDP</m:t>
            </m:r>
          </m:sup>
        </m:sSup>
      </m:oMath>
      <w:r w:rsidR="007251FF">
        <w:t xml:space="preserve">) </w:t>
      </w:r>
      <w:r w:rsidRPr="00FE1641">
        <w:t>over</w:t>
      </w:r>
      <w:r>
        <w:t xml:space="preserve"> the VRPCD objective value</w:t>
      </w:r>
      <w:r w:rsidR="007251FF">
        <w:t xml:space="preserve"> (</w:t>
      </w:r>
      <m:oMath>
        <m:sSup>
          <m:sSupPr>
            <m:ctrlPr>
              <w:rPr>
                <w:rFonts w:ascii="Cambria Math" w:hAnsi="Cambria Math"/>
                <w:i/>
              </w:rPr>
            </m:ctrlPr>
          </m:sSupPr>
          <m:e>
            <m:r>
              <w:rPr>
                <w:rFonts w:ascii="Cambria Math" w:hAnsi="Cambria Math"/>
              </w:rPr>
              <m:t>z</m:t>
            </m:r>
          </m:e>
          <m:sup>
            <m:r>
              <w:rPr>
                <w:rFonts w:ascii="Cambria Math" w:hAnsi="Cambria Math"/>
              </w:rPr>
              <m:t>VRPCD</m:t>
            </m:r>
          </m:sup>
        </m:sSup>
      </m:oMath>
      <w:r w:rsidR="007251FF">
        <w:t>)</w:t>
      </w:r>
      <w:r>
        <w:t>, over</w:t>
      </w:r>
      <w:r w:rsidRPr="00647C50">
        <w:t xml:space="preserve"> </w:t>
      </w:r>
      <w:r>
        <w:t>specific</w:t>
      </w:r>
      <w:r w:rsidRPr="00647C50">
        <w:t xml:space="preserve"> subset</w:t>
      </w:r>
      <w:r>
        <w:t>s</w:t>
      </w:r>
      <w:r w:rsidRPr="00647C50">
        <w:t xml:space="preserve"> of </w:t>
      </w:r>
      <w:r>
        <w:t>PDP</w:t>
      </w:r>
      <w:r w:rsidRPr="00B40D3E">
        <w:t xml:space="preserve"> </w:t>
      </w:r>
      <w:r w:rsidRPr="00647C50">
        <w:t>(and VRPCD)</w:t>
      </w:r>
      <w:bookmarkEnd w:id="424"/>
      <w:bookmarkEnd w:id="425"/>
      <w:bookmarkEnd w:id="426"/>
      <w:bookmarkEnd w:id="427"/>
      <w:r>
        <w:t xml:space="preserve"> </w:t>
      </w:r>
      <w:r w:rsidRPr="00647C50">
        <w:t>instances</w:t>
      </w:r>
      <w:r>
        <w:t xml:space="preserve">. </w:t>
      </w:r>
      <w:r w:rsidR="007A3E8F">
        <w:t>A</w:t>
      </w:r>
      <w:r w:rsidR="003161E7" w:rsidRPr="00481C6B">
        <w:t xml:space="preserve">pparently, values greater than </w:t>
      </w:r>
      <w:r w:rsidR="004547F5">
        <w:t>1</w:t>
      </w:r>
      <w:r w:rsidR="00025BDD" w:rsidRPr="00481C6B">
        <w:t>,</w:t>
      </w:r>
      <w:r w:rsidR="00C34ED3">
        <w:t xml:space="preserve"> </w:t>
      </w:r>
      <w:r w:rsidR="00025BDD" w:rsidRPr="00481C6B">
        <w:t>imply</w:t>
      </w:r>
      <w:r w:rsidR="003161E7" w:rsidRPr="00481C6B">
        <w:t xml:space="preserve"> that the </w:t>
      </w:r>
      <w:r w:rsidR="00D04B5E" w:rsidRPr="00481C6B">
        <w:t>direct shipping strategy (as depicted by the PDP) performs worse compared to the cross-docking strat</w:t>
      </w:r>
      <w:r w:rsidR="007A3E8F">
        <w:t>egy (as depicted by the VRPCD).</w:t>
      </w:r>
    </w:p>
    <w:p w:rsidR="00FE1641" w:rsidRDefault="00FE1641" w:rsidP="00FE1641">
      <w:pPr>
        <w:spacing w:after="0"/>
        <w:jc w:val="both"/>
      </w:pPr>
    </w:p>
    <w:p w:rsidR="00B374AE" w:rsidRPr="00531714" w:rsidRDefault="00B374AE" w:rsidP="00F00EA5">
      <w:pPr>
        <w:pStyle w:val="RoadefTexte"/>
        <w:spacing w:after="0" w:line="276" w:lineRule="auto"/>
        <w:ind w:firstLine="0"/>
        <w:jc w:val="left"/>
        <w:outlineLvl w:val="0"/>
        <w:rPr>
          <w:rFonts w:asciiTheme="minorHAnsi" w:hAnsiTheme="minorHAnsi"/>
          <w:i/>
          <w:lang w:val="en-US"/>
        </w:rPr>
      </w:pPr>
      <w:bookmarkStart w:id="428" w:name="OLE_LINK811"/>
      <w:bookmarkStart w:id="429" w:name="OLE_LINK812"/>
      <w:bookmarkStart w:id="430" w:name="OLE_LINK813"/>
      <w:bookmarkStart w:id="431" w:name="OLE_LINK814"/>
      <w:r w:rsidRPr="00531714">
        <w:rPr>
          <w:rFonts w:asciiTheme="minorHAnsi" w:hAnsiTheme="minorHAnsi"/>
          <w:i/>
          <w:lang w:val="en-US"/>
        </w:rPr>
        <w:t>Computational results for Data Set I</w:t>
      </w:r>
      <w:bookmarkEnd w:id="428"/>
      <w:bookmarkEnd w:id="429"/>
      <w:bookmarkEnd w:id="430"/>
      <w:bookmarkEnd w:id="431"/>
    </w:p>
    <w:p w:rsidR="00DA4B35" w:rsidRDefault="004C659C" w:rsidP="00F00EA5">
      <w:pPr>
        <w:pStyle w:val="RoadefTexte"/>
        <w:spacing w:after="0" w:line="276" w:lineRule="auto"/>
        <w:ind w:firstLine="0"/>
        <w:rPr>
          <w:rFonts w:asciiTheme="minorHAnsi" w:hAnsiTheme="minorHAnsi"/>
          <w:lang w:val="en-US"/>
        </w:rPr>
      </w:pPr>
      <w:bookmarkStart w:id="432" w:name="OLE_LINK408"/>
      <w:bookmarkStart w:id="433" w:name="OLE_LINK409"/>
      <w:bookmarkStart w:id="434" w:name="OLE_LINK295"/>
      <w:bookmarkStart w:id="435" w:name="OLE_LINK296"/>
      <w:r w:rsidRPr="00497FA5">
        <w:rPr>
          <w:rFonts w:asciiTheme="minorHAnsi" w:hAnsiTheme="minorHAnsi"/>
          <w:lang w:val="en-US"/>
        </w:rPr>
        <w:t xml:space="preserve">Table </w:t>
      </w:r>
      <w:r>
        <w:rPr>
          <w:rFonts w:asciiTheme="minorHAnsi" w:hAnsiTheme="minorHAnsi"/>
          <w:lang w:val="en-US"/>
        </w:rPr>
        <w:t>5 presents t</w:t>
      </w:r>
      <w:r w:rsidR="00BC2524">
        <w:rPr>
          <w:rFonts w:asciiTheme="minorHAnsi" w:hAnsiTheme="minorHAnsi"/>
          <w:lang w:val="en-US"/>
        </w:rPr>
        <w:t xml:space="preserve">he relative performance </w:t>
      </w:r>
      <w:r w:rsidR="00BC2524" w:rsidRPr="00BC2524">
        <w:rPr>
          <w:rFonts w:asciiTheme="minorHAnsi" w:hAnsiTheme="minorHAnsi"/>
          <w:i/>
          <w:lang w:val="el-GR"/>
        </w:rPr>
        <w:t>λ</w:t>
      </w:r>
      <w:r w:rsidR="00BC2524">
        <w:rPr>
          <w:rFonts w:asciiTheme="minorHAnsi" w:hAnsiTheme="minorHAnsi"/>
          <w:lang w:val="en-US"/>
        </w:rPr>
        <w:t xml:space="preserve"> between the direct shipping and the cross-docking strategies </w:t>
      </w:r>
      <w:r w:rsidR="00E775FA">
        <w:rPr>
          <w:rFonts w:asciiTheme="minorHAnsi" w:eastAsiaTheme="minorHAnsi" w:hAnsiTheme="minorHAnsi" w:cstheme="minorBidi"/>
          <w:lang w:val="en-US"/>
        </w:rPr>
        <w:t>for the instances of</w:t>
      </w:r>
      <w:r w:rsidR="001330BA" w:rsidRPr="00497FA5">
        <w:rPr>
          <w:rFonts w:asciiTheme="minorHAnsi" w:eastAsiaTheme="minorHAnsi" w:hAnsiTheme="minorHAnsi" w:cstheme="minorBidi"/>
          <w:lang w:val="en-US"/>
        </w:rPr>
        <w:t xml:space="preserve"> Data Set I</w:t>
      </w:r>
      <w:bookmarkStart w:id="436" w:name="OLE_LINK691"/>
      <w:bookmarkStart w:id="437" w:name="OLE_LINK692"/>
      <w:bookmarkStart w:id="438" w:name="OLE_LINK693"/>
      <w:bookmarkStart w:id="439" w:name="OLE_LINK696"/>
      <w:bookmarkStart w:id="440" w:name="OLE_LINK84"/>
      <w:bookmarkStart w:id="441" w:name="OLE_LINK85"/>
      <w:bookmarkStart w:id="442" w:name="OLE_LINK86"/>
      <w:bookmarkEnd w:id="432"/>
      <w:bookmarkEnd w:id="433"/>
      <w:r w:rsidR="00100A6B">
        <w:rPr>
          <w:rFonts w:asciiTheme="minorHAnsi" w:hAnsiTheme="minorHAnsi"/>
          <w:lang w:val="en-US"/>
        </w:rPr>
        <w:t xml:space="preserve">. </w:t>
      </w:r>
      <w:bookmarkStart w:id="443" w:name="OLE_LINK839"/>
      <w:bookmarkStart w:id="444" w:name="OLE_LINK848"/>
      <w:r>
        <w:rPr>
          <w:rFonts w:asciiTheme="minorHAnsi" w:hAnsiTheme="minorHAnsi"/>
          <w:lang w:val="en-US"/>
        </w:rPr>
        <w:t>In particular, the relative performance refers to the</w:t>
      </w:r>
      <w:r w:rsidR="00085F06">
        <w:rPr>
          <w:rFonts w:asciiTheme="minorHAnsi" w:hAnsiTheme="minorHAnsi"/>
          <w:lang w:val="en-US"/>
        </w:rPr>
        <w:t xml:space="preserve"> </w:t>
      </w:r>
      <w:r w:rsidR="00085F06">
        <w:rPr>
          <w:rFonts w:asciiTheme="minorHAnsi" w:eastAsiaTheme="minorHAnsi" w:hAnsiTheme="minorHAnsi" w:cstheme="minorBidi"/>
          <w:lang w:val="en-US"/>
        </w:rPr>
        <w:t xml:space="preserve">average results </w:t>
      </w:r>
      <w:r>
        <w:rPr>
          <w:rFonts w:asciiTheme="minorHAnsi" w:eastAsiaTheme="minorHAnsi" w:hAnsiTheme="minorHAnsi" w:cstheme="minorBidi"/>
          <w:lang w:val="en-US"/>
        </w:rPr>
        <w:t xml:space="preserve">obtained </w:t>
      </w:r>
      <w:r w:rsidR="00085F06">
        <w:rPr>
          <w:rFonts w:asciiTheme="minorHAnsi" w:eastAsiaTheme="minorHAnsi" w:hAnsiTheme="minorHAnsi" w:cstheme="minorBidi"/>
          <w:lang w:val="en-US"/>
        </w:rPr>
        <w:t xml:space="preserve">over </w:t>
      </w:r>
      <w:r>
        <w:rPr>
          <w:rFonts w:asciiTheme="minorHAnsi" w:eastAsiaTheme="minorHAnsi" w:hAnsiTheme="minorHAnsi" w:cstheme="minorBidi"/>
          <w:lang w:val="en-US"/>
        </w:rPr>
        <w:t xml:space="preserve">all </w:t>
      </w:r>
      <w:r w:rsidR="00085F06">
        <w:rPr>
          <w:rFonts w:asciiTheme="minorHAnsi" w:eastAsiaTheme="minorHAnsi" w:hAnsiTheme="minorHAnsi" w:cstheme="minorBidi"/>
          <w:lang w:val="en-US"/>
        </w:rPr>
        <w:t>instances belonging to</w:t>
      </w:r>
      <w:r w:rsidR="00085F06">
        <w:rPr>
          <w:rFonts w:asciiTheme="minorHAnsi" w:hAnsiTheme="minorHAnsi"/>
          <w:lang w:val="en-US"/>
        </w:rPr>
        <w:t xml:space="preserve"> </w:t>
      </w:r>
      <w:r w:rsidR="00BC2524" w:rsidRPr="00497FA5">
        <w:rPr>
          <w:rFonts w:asciiTheme="minorHAnsi" w:hAnsiTheme="minorHAnsi"/>
          <w:lang w:val="en-US"/>
        </w:rPr>
        <w:t>different subsets with respect to the geographic distribution classes (</w:t>
      </w:r>
      <w:r w:rsidR="00BC2524" w:rsidRPr="00497FA5">
        <w:rPr>
          <w:rFonts w:asciiTheme="minorHAnsi" w:hAnsiTheme="minorHAnsi"/>
          <w:i/>
          <w:lang w:val="en-US"/>
        </w:rPr>
        <w:t>R, C</w:t>
      </w:r>
      <w:r w:rsidR="00BC2524" w:rsidRPr="00497FA5">
        <w:rPr>
          <w:rFonts w:asciiTheme="minorHAnsi" w:hAnsiTheme="minorHAnsi"/>
          <w:lang w:val="en-US"/>
        </w:rPr>
        <w:t xml:space="preserve"> and </w:t>
      </w:r>
      <w:r w:rsidR="00BC2524" w:rsidRPr="00497FA5">
        <w:rPr>
          <w:rFonts w:asciiTheme="minorHAnsi" w:hAnsiTheme="minorHAnsi"/>
          <w:i/>
          <w:lang w:val="en-US"/>
        </w:rPr>
        <w:t>RC</w:t>
      </w:r>
      <w:r w:rsidR="00BC2524" w:rsidRPr="00497FA5">
        <w:rPr>
          <w:rFonts w:asciiTheme="minorHAnsi" w:hAnsiTheme="minorHAnsi"/>
          <w:lang w:val="en-US"/>
        </w:rPr>
        <w:t>)</w:t>
      </w:r>
      <w:bookmarkEnd w:id="443"/>
      <w:bookmarkEnd w:id="444"/>
      <w:r w:rsidR="00BC2524">
        <w:rPr>
          <w:rFonts w:asciiTheme="minorHAnsi" w:hAnsiTheme="minorHAnsi"/>
          <w:lang w:val="en-US"/>
        </w:rPr>
        <w:t xml:space="preserve"> </w:t>
      </w:r>
      <w:r w:rsidR="00BC2524" w:rsidRPr="00497FA5">
        <w:rPr>
          <w:rFonts w:asciiTheme="minorHAnsi" w:hAnsiTheme="minorHAnsi"/>
          <w:lang w:val="en-US"/>
        </w:rPr>
        <w:t>and the supplier-customer travel distances (</w:t>
      </w:r>
      <w:r w:rsidR="00BC2524" w:rsidRPr="00497FA5">
        <w:rPr>
          <w:rFonts w:asciiTheme="minorHAnsi" w:hAnsiTheme="minorHAnsi"/>
          <w:i/>
          <w:lang w:val="en-US"/>
        </w:rPr>
        <w:t>D</w:t>
      </w:r>
      <w:r w:rsidR="00BC2524">
        <w:rPr>
          <w:rFonts w:asciiTheme="minorHAnsi" w:hAnsiTheme="minorHAnsi"/>
          <w:i/>
          <w:lang w:val="en-US"/>
        </w:rPr>
        <w:t>S</w:t>
      </w:r>
      <w:r w:rsidR="00BC2524" w:rsidRPr="00497FA5">
        <w:rPr>
          <w:rFonts w:asciiTheme="minorHAnsi" w:hAnsiTheme="minorHAnsi"/>
          <w:i/>
          <w:lang w:val="en-US"/>
        </w:rPr>
        <w:t>, DCL</w:t>
      </w:r>
      <w:r w:rsidR="00BC2524" w:rsidRPr="00497FA5">
        <w:rPr>
          <w:rFonts w:asciiTheme="minorHAnsi" w:hAnsiTheme="minorHAnsi"/>
          <w:lang w:val="en-US"/>
        </w:rPr>
        <w:t xml:space="preserve"> and </w:t>
      </w:r>
      <w:r w:rsidR="00BC2524" w:rsidRPr="00497FA5">
        <w:rPr>
          <w:rFonts w:asciiTheme="minorHAnsi" w:hAnsiTheme="minorHAnsi"/>
          <w:i/>
          <w:lang w:val="en-US"/>
        </w:rPr>
        <w:t>CL</w:t>
      </w:r>
      <w:r w:rsidR="00BC2524" w:rsidRPr="00497FA5">
        <w:rPr>
          <w:rFonts w:asciiTheme="minorHAnsi" w:hAnsiTheme="minorHAnsi"/>
          <w:lang w:val="en-US"/>
        </w:rPr>
        <w:t>), respectively.</w:t>
      </w:r>
      <w:r w:rsidR="00BC2524">
        <w:rPr>
          <w:rFonts w:asciiTheme="minorHAnsi" w:hAnsiTheme="minorHAnsi"/>
          <w:lang w:val="en-US"/>
        </w:rPr>
        <w:t xml:space="preserve"> </w:t>
      </w:r>
      <w:r w:rsidR="007824BF">
        <w:rPr>
          <w:rFonts w:asciiTheme="minorHAnsi" w:hAnsiTheme="minorHAnsi"/>
          <w:lang w:val="en-US"/>
        </w:rPr>
        <w:t xml:space="preserve">Table 5 is </w:t>
      </w:r>
      <w:r w:rsidR="007824BF" w:rsidRPr="00497FA5">
        <w:rPr>
          <w:rFonts w:asciiTheme="minorHAnsi" w:hAnsiTheme="minorHAnsi"/>
          <w:lang w:val="en-US"/>
        </w:rPr>
        <w:t xml:space="preserve">divided into </w:t>
      </w:r>
      <w:r w:rsidR="007824BF">
        <w:rPr>
          <w:rFonts w:asciiTheme="minorHAnsi" w:hAnsiTheme="minorHAnsi"/>
          <w:lang w:val="en-US"/>
        </w:rPr>
        <w:t>four</w:t>
      </w:r>
      <w:r w:rsidR="007824BF" w:rsidRPr="00497FA5">
        <w:rPr>
          <w:rFonts w:asciiTheme="minorHAnsi" w:hAnsiTheme="minorHAnsi"/>
          <w:lang w:val="en-US"/>
        </w:rPr>
        <w:t xml:space="preserve"> sections (one for each parameter)</w:t>
      </w:r>
      <w:r w:rsidR="007824BF">
        <w:rPr>
          <w:rFonts w:asciiTheme="minorHAnsi" w:hAnsiTheme="minorHAnsi"/>
          <w:lang w:val="en-US"/>
        </w:rPr>
        <w:t>.</w:t>
      </w:r>
      <w:r w:rsidR="007824BF" w:rsidRPr="00497FA5">
        <w:rPr>
          <w:rFonts w:asciiTheme="minorHAnsi" w:hAnsiTheme="minorHAnsi"/>
          <w:lang w:val="en-US"/>
        </w:rPr>
        <w:t xml:space="preserve"> </w:t>
      </w:r>
      <w:r w:rsidR="007824BF">
        <w:rPr>
          <w:rFonts w:asciiTheme="minorHAnsi" w:hAnsiTheme="minorHAnsi"/>
          <w:lang w:val="en-US"/>
        </w:rPr>
        <w:t xml:space="preserve">Each of these sections contains three rows (one for each parameter level). Each row provides the relative performance </w:t>
      </w:r>
      <w:r w:rsidR="007824BF" w:rsidRPr="0078609D">
        <w:rPr>
          <w:rFonts w:asciiTheme="minorHAnsi" w:hAnsiTheme="minorHAnsi"/>
          <w:i/>
          <w:lang w:val="el-GR"/>
        </w:rPr>
        <w:t>λ</w:t>
      </w:r>
      <w:r w:rsidR="007824BF" w:rsidRPr="0078609D">
        <w:rPr>
          <w:rFonts w:asciiTheme="minorHAnsi" w:hAnsiTheme="minorHAnsi"/>
          <w:lang w:val="en-US"/>
        </w:rPr>
        <w:t xml:space="preserve"> </w:t>
      </w:r>
      <w:r w:rsidR="007824BF">
        <w:rPr>
          <w:rFonts w:asciiTheme="minorHAnsi" w:hAnsiTheme="minorHAnsi"/>
          <w:lang w:val="en-US"/>
        </w:rPr>
        <w:t xml:space="preserve">of the two strategies </w:t>
      </w:r>
      <w:r w:rsidR="007824BF" w:rsidRPr="00497FA5">
        <w:rPr>
          <w:rFonts w:asciiTheme="minorHAnsi" w:hAnsiTheme="minorHAnsi"/>
          <w:lang w:val="en-US"/>
        </w:rPr>
        <w:t xml:space="preserve">by fixing each parameter </w:t>
      </w:r>
      <w:r w:rsidR="007824BF" w:rsidRPr="00967686">
        <w:rPr>
          <w:i/>
        </w:rPr>
        <w:t xml:space="preserve">p </w:t>
      </w:r>
      <w:r w:rsidR="007824BF" w:rsidRPr="00967686">
        <w:rPr>
          <w:rFonts w:ascii="Arial Unicode MS" w:eastAsia="Arial Unicode MS" w:hAnsi="Arial Unicode MS" w:cs="Arial Unicode MS" w:hint="eastAsia"/>
          <w:i/>
        </w:rPr>
        <w:t>∈</w:t>
      </w:r>
      <w:r w:rsidR="007824BF" w:rsidRPr="00967686">
        <w:rPr>
          <w:i/>
        </w:rPr>
        <w:t xml:space="preserve"> P</w:t>
      </w:r>
      <w:r w:rsidR="007824BF" w:rsidRPr="00497FA5">
        <w:rPr>
          <w:rFonts w:asciiTheme="minorHAnsi" w:hAnsiTheme="minorHAnsi"/>
          <w:lang w:val="en-US"/>
        </w:rPr>
        <w:t xml:space="preserve"> to a specific level </w:t>
      </w:r>
      <w:r w:rsidR="007824BF" w:rsidRPr="00497FA5">
        <w:rPr>
          <w:rFonts w:asciiTheme="minorHAnsi" w:hAnsiTheme="minorHAnsi"/>
          <w:i/>
          <w:lang w:val="en-US"/>
        </w:rPr>
        <w:t xml:space="preserve">l </w:t>
      </w:r>
      <w:r w:rsidR="007824BF" w:rsidRPr="00967686">
        <w:rPr>
          <w:rFonts w:ascii="Arial Unicode MS" w:eastAsia="Arial Unicode MS" w:hAnsi="Arial Unicode MS" w:cs="Arial Unicode MS" w:hint="eastAsia"/>
          <w:i/>
        </w:rPr>
        <w:t>∈</w:t>
      </w:r>
      <w:r w:rsidR="007824BF" w:rsidRPr="00967686">
        <w:rPr>
          <w:i/>
        </w:rPr>
        <w:t xml:space="preserve"> </w:t>
      </w:r>
      <w:r w:rsidR="007824BF">
        <w:rPr>
          <w:i/>
          <w:lang w:val="en-US"/>
        </w:rPr>
        <w:t>L</w:t>
      </w:r>
      <w:r w:rsidR="007824BF">
        <w:rPr>
          <w:rFonts w:asciiTheme="minorHAnsi" w:hAnsiTheme="minorHAnsi"/>
          <w:lang w:val="en-US"/>
        </w:rPr>
        <w:t xml:space="preserve"> and varying all other parameters. For example, 0.68 in the first row of the first column corresponds to the average relative </w:t>
      </w:r>
      <w:r w:rsidR="00EB348E">
        <w:rPr>
          <w:rFonts w:asciiTheme="minorHAnsi" w:hAnsiTheme="minorHAnsi"/>
          <w:lang w:val="en-US"/>
        </w:rPr>
        <w:t xml:space="preserve">performance </w:t>
      </w:r>
      <m:oMath>
        <m:sSup>
          <m:sSupPr>
            <m:ctrlPr>
              <w:rPr>
                <w:rFonts w:ascii="Cambria Math" w:eastAsiaTheme="minorHAnsi" w:hAnsi="Cambria Math" w:cstheme="minorBidi"/>
                <w:i/>
                <w:lang w:val="en-US"/>
              </w:rPr>
            </m:ctrlPr>
          </m:sSupPr>
          <m:e>
            <m:r>
              <w:rPr>
                <w:rFonts w:ascii="Cambria Math" w:hAnsi="Cambria Math"/>
              </w:rPr>
              <m:t>z</m:t>
            </m:r>
          </m:e>
          <m:sup>
            <m:r>
              <w:rPr>
                <w:rFonts w:ascii="Cambria Math" w:hAnsi="Cambria Math"/>
              </w:rPr>
              <m:t>PDP</m:t>
            </m:r>
          </m:sup>
        </m:sSup>
      </m:oMath>
      <w:r w:rsidR="00EB348E">
        <w:rPr>
          <w:rFonts w:asciiTheme="minorHAnsi" w:hAnsiTheme="minorHAnsi"/>
          <w:lang w:val="en-US"/>
        </w:rPr>
        <w:t xml:space="preserve">/ </w:t>
      </w:r>
      <m:oMath>
        <m:sSup>
          <m:sSupPr>
            <m:ctrlPr>
              <w:rPr>
                <w:rFonts w:ascii="Cambria Math" w:eastAsiaTheme="minorHAnsi" w:hAnsi="Cambria Math" w:cstheme="minorBidi"/>
                <w:i/>
                <w:lang w:val="en-US"/>
              </w:rPr>
            </m:ctrlPr>
          </m:sSupPr>
          <m:e>
            <m:r>
              <w:rPr>
                <w:rFonts w:ascii="Cambria Math" w:hAnsi="Cambria Math"/>
              </w:rPr>
              <m:t>z</m:t>
            </m:r>
          </m:e>
          <m:sup>
            <m:r>
              <w:rPr>
                <w:rFonts w:ascii="Cambria Math" w:hAnsi="Cambria Math"/>
              </w:rPr>
              <m:t>VRPCD</m:t>
            </m:r>
          </m:sup>
        </m:sSup>
        <m:r>
          <w:rPr>
            <w:rFonts w:ascii="Cambria Math" w:hAnsi="Cambria Math"/>
            <w:lang w:val="en-US"/>
          </w:rPr>
          <m:t xml:space="preserve"> </m:t>
        </m:r>
      </m:oMath>
      <w:r w:rsidR="00EB348E">
        <w:rPr>
          <w:rFonts w:asciiTheme="minorHAnsi" w:hAnsiTheme="minorHAnsi"/>
          <w:lang w:val="en-US"/>
        </w:rPr>
        <w:t>for</w:t>
      </w:r>
      <w:r w:rsidR="007824BF">
        <w:rPr>
          <w:rFonts w:asciiTheme="minorHAnsi" w:hAnsiTheme="minorHAnsi"/>
          <w:lang w:val="en-US"/>
        </w:rPr>
        <w:t xml:space="preserve"> all 108 problem instances of R class with </w:t>
      </w:r>
      <w:r w:rsidR="007824BF" w:rsidRPr="007251FF">
        <w:rPr>
          <w:rFonts w:asciiTheme="minorHAnsi" w:hAnsiTheme="minorHAnsi"/>
          <w:i/>
          <w:lang w:val="en-US"/>
        </w:rPr>
        <w:t>Q1</w:t>
      </w:r>
      <w:r w:rsidR="007824BF">
        <w:rPr>
          <w:rFonts w:asciiTheme="minorHAnsi" w:hAnsiTheme="minorHAnsi"/>
          <w:lang w:val="en-US"/>
        </w:rPr>
        <w:t xml:space="preserve"> level. </w:t>
      </w:r>
      <w:bookmarkEnd w:id="436"/>
      <w:bookmarkEnd w:id="437"/>
      <w:r w:rsidR="00240886">
        <w:rPr>
          <w:rFonts w:asciiTheme="minorHAnsi" w:hAnsiTheme="minorHAnsi"/>
          <w:lang w:val="en-US"/>
        </w:rPr>
        <w:t>(</w:t>
      </w:r>
      <w:r w:rsidR="001D749C" w:rsidRPr="00497FA5">
        <w:rPr>
          <w:rFonts w:asciiTheme="minorHAnsi" w:hAnsiTheme="minorHAnsi"/>
          <w:lang w:val="en-US"/>
        </w:rPr>
        <w:t xml:space="preserve">Note that </w:t>
      </w:r>
      <w:r w:rsidR="00F20954" w:rsidRPr="00216E05">
        <w:rPr>
          <w:rFonts w:asciiTheme="minorHAnsi" w:hAnsiTheme="minorHAnsi"/>
          <w:lang w:val="en-US"/>
        </w:rPr>
        <w:t xml:space="preserve">the </w:t>
      </w:r>
      <w:r w:rsidR="00216E05" w:rsidRPr="00216E05">
        <w:rPr>
          <w:rFonts w:asciiTheme="minorHAnsi" w:hAnsiTheme="minorHAnsi"/>
          <w:szCs w:val="24"/>
        </w:rPr>
        <w:t xml:space="preserve">cross-dock </w:t>
      </w:r>
      <w:r w:rsidR="00F20954" w:rsidRPr="00216E05">
        <w:rPr>
          <w:rFonts w:asciiTheme="minorHAnsi" w:hAnsiTheme="minorHAnsi"/>
          <w:lang w:val="en-US"/>
        </w:rPr>
        <w:t>service time</w:t>
      </w:r>
      <w:r w:rsidR="00100A6B" w:rsidRPr="00497FA5">
        <w:rPr>
          <w:rFonts w:asciiTheme="minorHAnsi" w:hAnsiTheme="minorHAnsi"/>
          <w:lang w:val="en-US"/>
        </w:rPr>
        <w:t xml:space="preserve"> </w:t>
      </w:r>
      <w:r w:rsidR="00100A6B" w:rsidRPr="00497FA5">
        <w:rPr>
          <w:rFonts w:asciiTheme="minorHAnsi" w:hAnsiTheme="minorHAnsi"/>
          <w:i/>
          <w:lang w:val="en-US"/>
        </w:rPr>
        <w:t>s</w:t>
      </w:r>
      <w:r w:rsidR="00100A6B" w:rsidRPr="00497FA5">
        <w:rPr>
          <w:rFonts w:asciiTheme="minorHAnsi" w:hAnsiTheme="minorHAnsi"/>
          <w:lang w:val="en-US"/>
        </w:rPr>
        <w:t xml:space="preserve"> </w:t>
      </w:r>
      <w:r w:rsidR="00F20954">
        <w:rPr>
          <w:rFonts w:asciiTheme="minorHAnsi" w:hAnsiTheme="minorHAnsi"/>
          <w:lang w:val="en-US"/>
        </w:rPr>
        <w:t>is not considered under the PDP model, thus</w:t>
      </w:r>
      <w:r w:rsidR="00412827" w:rsidRPr="00497FA5">
        <w:rPr>
          <w:rFonts w:asciiTheme="minorHAnsi" w:hAnsiTheme="minorHAnsi"/>
          <w:lang w:val="en-US"/>
        </w:rPr>
        <w:t xml:space="preserve"> the </w:t>
      </w:r>
      <w:r w:rsidR="00230714" w:rsidRPr="00497FA5">
        <w:rPr>
          <w:rFonts w:asciiTheme="minorHAnsi" w:hAnsiTheme="minorHAnsi"/>
          <w:lang w:val="en-US"/>
        </w:rPr>
        <w:t xml:space="preserve">values </w:t>
      </w:r>
      <w:r w:rsidR="00813254">
        <w:rPr>
          <w:rFonts w:asciiTheme="minorHAnsi" w:hAnsiTheme="minorHAnsi"/>
          <w:lang w:val="en-US"/>
        </w:rPr>
        <w:t xml:space="preserve">of </w:t>
      </w:r>
      <m:oMath>
        <m:sSup>
          <m:sSupPr>
            <m:ctrlPr>
              <w:rPr>
                <w:rFonts w:ascii="Cambria Math" w:eastAsiaTheme="minorHAnsi" w:hAnsi="Cambria Math" w:cstheme="minorBidi"/>
                <w:i/>
                <w:lang w:val="en-US"/>
              </w:rPr>
            </m:ctrlPr>
          </m:sSupPr>
          <m:e>
            <m:r>
              <w:rPr>
                <w:rFonts w:ascii="Cambria Math" w:hAnsi="Cambria Math"/>
              </w:rPr>
              <m:t>z</m:t>
            </m:r>
          </m:e>
          <m:sup>
            <m:r>
              <w:rPr>
                <w:rFonts w:ascii="Cambria Math" w:hAnsi="Cambria Math"/>
              </w:rPr>
              <m:t>PDP</m:t>
            </m:r>
          </m:sup>
        </m:sSup>
      </m:oMath>
      <w:r w:rsidR="00813254">
        <w:rPr>
          <w:rFonts w:asciiTheme="minorHAnsi" w:hAnsiTheme="minorHAnsi"/>
          <w:lang w:val="en-US"/>
        </w:rPr>
        <w:t xml:space="preserve"> for the </w:t>
      </w:r>
      <w:r w:rsidR="00813254" w:rsidRPr="00813254">
        <w:rPr>
          <w:rFonts w:asciiTheme="minorHAnsi" w:hAnsiTheme="minorHAnsi"/>
          <w:i/>
          <w:lang w:val="en-US"/>
        </w:rPr>
        <w:t>s1,</w:t>
      </w:r>
      <w:r w:rsidR="00813254">
        <w:rPr>
          <w:rFonts w:asciiTheme="minorHAnsi" w:hAnsiTheme="minorHAnsi"/>
          <w:lang w:val="en-US"/>
        </w:rPr>
        <w:t xml:space="preserve"> </w:t>
      </w:r>
      <w:r w:rsidR="00813254" w:rsidRPr="00813254">
        <w:rPr>
          <w:rFonts w:asciiTheme="minorHAnsi" w:hAnsiTheme="minorHAnsi"/>
          <w:i/>
          <w:lang w:val="en-US"/>
        </w:rPr>
        <w:t>s2</w:t>
      </w:r>
      <w:r w:rsidR="00813254">
        <w:rPr>
          <w:rFonts w:asciiTheme="minorHAnsi" w:hAnsiTheme="minorHAnsi"/>
          <w:lang w:val="en-US"/>
        </w:rPr>
        <w:t xml:space="preserve"> and </w:t>
      </w:r>
      <w:r w:rsidR="00813254" w:rsidRPr="00813254">
        <w:rPr>
          <w:rFonts w:asciiTheme="minorHAnsi" w:hAnsiTheme="minorHAnsi"/>
          <w:i/>
          <w:lang w:val="en-US"/>
        </w:rPr>
        <w:t>s3</w:t>
      </w:r>
      <w:r w:rsidR="00813254">
        <w:rPr>
          <w:rFonts w:asciiTheme="minorHAnsi" w:hAnsiTheme="minorHAnsi"/>
          <w:lang w:val="en-US"/>
        </w:rPr>
        <w:t xml:space="preserve"> levels </w:t>
      </w:r>
      <w:r w:rsidR="003161E7" w:rsidRPr="00497FA5">
        <w:rPr>
          <w:rFonts w:asciiTheme="minorHAnsi" w:hAnsiTheme="minorHAnsi"/>
          <w:lang w:val="en-US"/>
        </w:rPr>
        <w:t xml:space="preserve">are </w:t>
      </w:r>
      <w:r w:rsidR="00520190">
        <w:rPr>
          <w:rFonts w:asciiTheme="minorHAnsi" w:hAnsiTheme="minorHAnsi"/>
          <w:lang w:val="en-US"/>
        </w:rPr>
        <w:t>always identical</w:t>
      </w:r>
      <w:r w:rsidR="007824BF">
        <w:rPr>
          <w:rFonts w:asciiTheme="minorHAnsi" w:hAnsiTheme="minorHAnsi"/>
          <w:lang w:val="en-US"/>
        </w:rPr>
        <w:t>)</w:t>
      </w:r>
      <w:r w:rsidR="001D749C" w:rsidRPr="00497FA5">
        <w:rPr>
          <w:rFonts w:asciiTheme="minorHAnsi" w:hAnsiTheme="minorHAnsi"/>
          <w:lang w:val="en-US"/>
        </w:rPr>
        <w:t>.</w:t>
      </w:r>
      <w:bookmarkStart w:id="445" w:name="OLE_LINK235"/>
      <w:bookmarkStart w:id="446" w:name="OLE_LINK236"/>
      <w:bookmarkEnd w:id="434"/>
      <w:bookmarkEnd w:id="435"/>
      <w:bookmarkEnd w:id="438"/>
      <w:bookmarkEnd w:id="439"/>
      <w:r w:rsidR="00BC2524">
        <w:rPr>
          <w:rFonts w:asciiTheme="minorHAnsi" w:hAnsiTheme="minorHAnsi"/>
          <w:lang w:val="en-US"/>
        </w:rPr>
        <w:t xml:space="preserve"> </w:t>
      </w:r>
      <w:r w:rsidR="00692A35" w:rsidRPr="00497FA5">
        <w:rPr>
          <w:rFonts w:asciiTheme="minorHAnsi" w:hAnsiTheme="minorHAnsi"/>
          <w:lang w:val="en-US"/>
        </w:rPr>
        <w:t xml:space="preserve">Analytic solution </w:t>
      </w:r>
      <w:bookmarkStart w:id="447" w:name="OLE_LINK164"/>
      <w:bookmarkStart w:id="448" w:name="OLE_LINK177"/>
      <w:bookmarkStart w:id="449" w:name="OLE_LINK178"/>
      <w:bookmarkStart w:id="450" w:name="OLE_LINK452"/>
      <w:r w:rsidR="00692A35" w:rsidRPr="00497FA5">
        <w:rPr>
          <w:rFonts w:asciiTheme="minorHAnsi" w:hAnsiTheme="minorHAnsi"/>
          <w:lang w:val="en-US"/>
        </w:rPr>
        <w:t xml:space="preserve">scores </w:t>
      </w:r>
      <w:r w:rsidR="00497FA5">
        <w:rPr>
          <w:rFonts w:asciiTheme="minorHAnsi" w:hAnsiTheme="minorHAnsi"/>
          <w:lang w:val="en-US"/>
        </w:rPr>
        <w:t xml:space="preserve">for all Data Set I </w:t>
      </w:r>
      <w:bookmarkEnd w:id="447"/>
      <w:bookmarkEnd w:id="448"/>
      <w:bookmarkEnd w:id="449"/>
      <w:bookmarkEnd w:id="450"/>
      <w:r w:rsidR="00355C0F">
        <w:rPr>
          <w:rFonts w:asciiTheme="minorHAnsi" w:hAnsiTheme="minorHAnsi"/>
          <w:lang w:val="en-US"/>
        </w:rPr>
        <w:t xml:space="preserve">instances </w:t>
      </w:r>
      <w:r w:rsidR="00692A35" w:rsidRPr="00497FA5">
        <w:rPr>
          <w:rFonts w:asciiTheme="minorHAnsi" w:hAnsiTheme="minorHAnsi"/>
          <w:lang w:val="en-US"/>
        </w:rPr>
        <w:t>are provided in Table</w:t>
      </w:r>
      <w:r w:rsidR="00497FA5">
        <w:rPr>
          <w:rFonts w:asciiTheme="minorHAnsi" w:hAnsiTheme="minorHAnsi"/>
          <w:lang w:val="en-US"/>
        </w:rPr>
        <w:t>s</w:t>
      </w:r>
      <w:r w:rsidR="00692A35" w:rsidRPr="00497FA5">
        <w:rPr>
          <w:rFonts w:asciiTheme="minorHAnsi" w:hAnsiTheme="minorHAnsi"/>
          <w:lang w:val="en-US"/>
        </w:rPr>
        <w:t xml:space="preserve"> </w:t>
      </w:r>
      <w:r w:rsidR="007824BF">
        <w:rPr>
          <w:rFonts w:asciiTheme="minorHAnsi" w:hAnsiTheme="minorHAnsi"/>
          <w:lang w:val="en-US"/>
        </w:rPr>
        <w:t xml:space="preserve">1, 2, 3 and </w:t>
      </w:r>
      <w:r w:rsidR="00497FA5">
        <w:rPr>
          <w:rFonts w:asciiTheme="minorHAnsi" w:hAnsiTheme="minorHAnsi"/>
          <w:lang w:val="en-US"/>
        </w:rPr>
        <w:t>4</w:t>
      </w:r>
      <w:r w:rsidR="00240886">
        <w:rPr>
          <w:rFonts w:asciiTheme="minorHAnsi" w:hAnsiTheme="minorHAnsi"/>
          <w:lang w:val="en-US"/>
        </w:rPr>
        <w:t xml:space="preserve"> </w:t>
      </w:r>
      <w:r w:rsidR="00692A35" w:rsidRPr="00497FA5">
        <w:rPr>
          <w:rFonts w:asciiTheme="minorHAnsi" w:hAnsiTheme="minorHAnsi"/>
          <w:lang w:val="en-US"/>
        </w:rPr>
        <w:t xml:space="preserve">of </w:t>
      </w:r>
      <w:r w:rsidR="00355C0F">
        <w:rPr>
          <w:rFonts w:asciiTheme="minorHAnsi" w:hAnsiTheme="minorHAnsi"/>
          <w:lang w:val="en-US"/>
        </w:rPr>
        <w:t xml:space="preserve">the </w:t>
      </w:r>
      <w:r w:rsidR="00692A35" w:rsidRPr="00497FA5">
        <w:rPr>
          <w:rFonts w:asciiTheme="minorHAnsi" w:hAnsiTheme="minorHAnsi"/>
          <w:lang w:val="en-US"/>
        </w:rPr>
        <w:t>Appendix</w:t>
      </w:r>
      <w:r w:rsidR="007824BF">
        <w:rPr>
          <w:rFonts w:asciiTheme="minorHAnsi" w:hAnsiTheme="minorHAnsi"/>
          <w:lang w:val="en-US"/>
        </w:rPr>
        <w:t xml:space="preserve"> A</w:t>
      </w:r>
      <w:r w:rsidR="00692A35" w:rsidRPr="00497FA5">
        <w:rPr>
          <w:rFonts w:asciiTheme="minorHAnsi" w:hAnsiTheme="minorHAnsi"/>
          <w:lang w:val="en-US"/>
        </w:rPr>
        <w:t>.</w:t>
      </w:r>
      <w:bookmarkEnd w:id="445"/>
      <w:bookmarkEnd w:id="446"/>
    </w:p>
    <w:p w:rsidR="00EB348E" w:rsidRDefault="00EB348E" w:rsidP="00F00EA5">
      <w:pPr>
        <w:pStyle w:val="RoadefTexte"/>
        <w:spacing w:after="0" w:line="276" w:lineRule="auto"/>
        <w:ind w:firstLine="0"/>
        <w:rPr>
          <w:rFonts w:asciiTheme="minorHAnsi" w:hAnsiTheme="minorHAnsi"/>
          <w:lang w:val="en-US"/>
        </w:rPr>
      </w:pPr>
    </w:p>
    <w:p w:rsidR="00BF1F6F" w:rsidRDefault="00BF1F6F" w:rsidP="00F00EA5">
      <w:pPr>
        <w:pStyle w:val="RoadefTexte"/>
        <w:spacing w:after="0" w:line="276" w:lineRule="auto"/>
        <w:ind w:firstLine="0"/>
        <w:rPr>
          <w:rFonts w:asciiTheme="minorHAnsi" w:hAnsiTheme="minorHAnsi"/>
          <w:lang w:val="en-US"/>
        </w:rPr>
      </w:pPr>
    </w:p>
    <w:p w:rsidR="00F722F5" w:rsidRDefault="00F722F5" w:rsidP="00F00EA5">
      <w:pPr>
        <w:pStyle w:val="RoadefTexte"/>
        <w:spacing w:after="0" w:line="276" w:lineRule="auto"/>
        <w:ind w:firstLine="0"/>
        <w:rPr>
          <w:rFonts w:asciiTheme="minorHAnsi" w:hAnsiTheme="minorHAnsi"/>
          <w:lang w:val="en-US"/>
        </w:rPr>
      </w:pPr>
    </w:p>
    <w:p w:rsidR="00813254" w:rsidRDefault="00813254" w:rsidP="00F00EA5">
      <w:pPr>
        <w:pStyle w:val="RoadefTexte"/>
        <w:spacing w:after="0" w:line="276" w:lineRule="auto"/>
        <w:ind w:firstLine="0"/>
        <w:rPr>
          <w:rFonts w:asciiTheme="minorHAnsi" w:hAnsiTheme="minorHAnsi"/>
          <w:lang w:val="en-US"/>
        </w:rPr>
      </w:pPr>
    </w:p>
    <w:p w:rsidR="00BF1F6F" w:rsidRPr="00BF1F6F" w:rsidRDefault="00BF1F6F" w:rsidP="00F00EA5">
      <w:pPr>
        <w:pStyle w:val="RoadefTexte"/>
        <w:spacing w:after="0" w:line="276" w:lineRule="auto"/>
        <w:ind w:firstLine="0"/>
        <w:rPr>
          <w:rFonts w:asciiTheme="minorHAnsi" w:hAnsiTheme="minorHAnsi"/>
          <w:sz w:val="20"/>
          <w:lang w:val="en-US"/>
        </w:rPr>
      </w:pPr>
      <w:r w:rsidRPr="008C08C3">
        <w:rPr>
          <w:rFonts w:asciiTheme="minorHAnsi" w:hAnsiTheme="minorHAnsi"/>
          <w:b/>
          <w:sz w:val="20"/>
          <w:lang w:val="en-US"/>
        </w:rPr>
        <w:t xml:space="preserve">Table </w:t>
      </w:r>
      <w:r>
        <w:rPr>
          <w:rFonts w:asciiTheme="minorHAnsi" w:hAnsiTheme="minorHAnsi"/>
          <w:b/>
          <w:sz w:val="20"/>
          <w:lang w:val="en-US"/>
        </w:rPr>
        <w:t>5</w:t>
      </w:r>
      <w:r w:rsidRPr="008C08C3">
        <w:rPr>
          <w:rFonts w:asciiTheme="minorHAnsi" w:hAnsiTheme="minorHAnsi"/>
          <w:b/>
          <w:sz w:val="20"/>
          <w:lang w:val="en-US"/>
        </w:rPr>
        <w:t xml:space="preserve">. </w:t>
      </w:r>
      <w:proofErr w:type="gramStart"/>
      <w:r w:rsidRPr="00BD3852">
        <w:rPr>
          <w:rFonts w:asciiTheme="minorHAnsi" w:hAnsiTheme="minorHAnsi"/>
          <w:sz w:val="20"/>
          <w:lang w:val="en-US"/>
        </w:rPr>
        <w:t>Relative performance</w:t>
      </w:r>
      <w:r w:rsidRPr="0001018E">
        <w:rPr>
          <w:rFonts w:asciiTheme="minorHAnsi" w:hAnsiTheme="minorHAnsi"/>
          <w:sz w:val="20"/>
          <w:lang w:val="en-US"/>
        </w:rPr>
        <w:t xml:space="preserve"> </w:t>
      </w:r>
      <w:r w:rsidRPr="0001018E">
        <w:rPr>
          <w:rFonts w:asciiTheme="minorHAnsi" w:hAnsiTheme="minorHAnsi"/>
          <w:i/>
          <w:sz w:val="20"/>
          <w:lang w:val="el-GR"/>
        </w:rPr>
        <w:t>λ</w:t>
      </w:r>
      <w:r w:rsidRPr="00BD3852">
        <w:rPr>
          <w:rFonts w:asciiTheme="minorHAnsi" w:hAnsiTheme="minorHAnsi"/>
          <w:sz w:val="20"/>
          <w:lang w:val="en-US"/>
        </w:rPr>
        <w:t xml:space="preserve"> between the direct shipping and the cross-docking strategies for Data Set I</w:t>
      </w:r>
      <w:r w:rsidR="00422F71">
        <w:rPr>
          <w:rFonts w:asciiTheme="minorHAnsi" w:hAnsiTheme="minorHAnsi"/>
          <w:sz w:val="20"/>
          <w:lang w:val="en-US"/>
        </w:rPr>
        <w:t>.</w:t>
      </w:r>
      <w:proofErr w:type="gramEnd"/>
    </w:p>
    <w:tbl>
      <w:tblPr>
        <w:tblStyle w:val="TableGrid"/>
        <w:tblW w:w="4886"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26"/>
        <w:gridCol w:w="299"/>
        <w:gridCol w:w="1284"/>
        <w:gridCol w:w="1250"/>
        <w:gridCol w:w="1284"/>
        <w:gridCol w:w="301"/>
        <w:gridCol w:w="1284"/>
        <w:gridCol w:w="1233"/>
        <w:gridCol w:w="1297"/>
      </w:tblGrid>
      <w:tr w:rsidR="0001018E" w:rsidTr="00BF1F6F">
        <w:tc>
          <w:tcPr>
            <w:tcW w:w="601" w:type="pct"/>
            <w:tcBorders>
              <w:top w:val="single" w:sz="4" w:space="0" w:color="auto"/>
              <w:bottom w:val="nil"/>
            </w:tcBorders>
          </w:tcPr>
          <w:p w:rsidR="0001018E" w:rsidRPr="0001018E" w:rsidRDefault="0001018E" w:rsidP="0009466F">
            <w:pPr>
              <w:pStyle w:val="RoadefTexte"/>
              <w:spacing w:line="276" w:lineRule="auto"/>
              <w:ind w:firstLine="0"/>
              <w:rPr>
                <w:rFonts w:asciiTheme="minorHAnsi" w:hAnsiTheme="minorHAnsi"/>
                <w:b/>
                <w:sz w:val="18"/>
                <w:szCs w:val="20"/>
                <w:lang w:val="en-US"/>
              </w:rPr>
            </w:pPr>
            <w:r>
              <w:rPr>
                <w:rFonts w:asciiTheme="minorHAnsi" w:hAnsiTheme="minorHAnsi"/>
                <w:b/>
                <w:sz w:val="18"/>
                <w:szCs w:val="20"/>
                <w:lang w:val="en-US"/>
              </w:rPr>
              <w:t>Level/Class</w:t>
            </w:r>
          </w:p>
        </w:tc>
        <w:tc>
          <w:tcPr>
            <w:tcW w:w="160" w:type="pct"/>
            <w:tcBorders>
              <w:top w:val="single" w:sz="4" w:space="0" w:color="auto"/>
              <w:bottom w:val="nil"/>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p>
        </w:tc>
        <w:tc>
          <w:tcPr>
            <w:tcW w:w="686"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R</w:t>
            </w:r>
          </w:p>
        </w:tc>
        <w:tc>
          <w:tcPr>
            <w:tcW w:w="668"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RC</w:t>
            </w:r>
          </w:p>
        </w:tc>
        <w:tc>
          <w:tcPr>
            <w:tcW w:w="686"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C</w:t>
            </w:r>
          </w:p>
        </w:tc>
        <w:tc>
          <w:tcPr>
            <w:tcW w:w="161" w:type="pct"/>
            <w:tcBorders>
              <w:top w:val="single" w:sz="4" w:space="0" w:color="auto"/>
              <w:bottom w:val="nil"/>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p>
        </w:tc>
        <w:tc>
          <w:tcPr>
            <w:tcW w:w="686"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DS</w:t>
            </w:r>
          </w:p>
        </w:tc>
        <w:tc>
          <w:tcPr>
            <w:tcW w:w="659"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DC</w:t>
            </w:r>
          </w:p>
        </w:tc>
        <w:tc>
          <w:tcPr>
            <w:tcW w:w="694" w:type="pct"/>
            <w:tcBorders>
              <w:top w:val="single" w:sz="4" w:space="0" w:color="auto"/>
              <w:bottom w:val="single" w:sz="4" w:space="0" w:color="auto"/>
            </w:tcBorders>
          </w:tcPr>
          <w:p w:rsidR="0001018E" w:rsidRPr="001F431C" w:rsidRDefault="0001018E" w:rsidP="00640D18">
            <w:pPr>
              <w:pStyle w:val="RoadefTexte"/>
              <w:spacing w:line="276" w:lineRule="auto"/>
              <w:ind w:firstLine="0"/>
              <w:jc w:val="center"/>
              <w:rPr>
                <w:rFonts w:asciiTheme="minorHAnsi" w:hAnsiTheme="minorHAnsi"/>
                <w:b/>
                <w:sz w:val="18"/>
                <w:szCs w:val="20"/>
                <w:lang w:val="en-US"/>
              </w:rPr>
            </w:pPr>
            <w:r w:rsidRPr="001F431C">
              <w:rPr>
                <w:rFonts w:asciiTheme="minorHAnsi" w:hAnsiTheme="minorHAnsi"/>
                <w:b/>
                <w:sz w:val="18"/>
                <w:szCs w:val="20"/>
                <w:lang w:val="en-US"/>
              </w:rPr>
              <w:t>CL</w:t>
            </w:r>
          </w:p>
        </w:tc>
      </w:tr>
      <w:tr w:rsidR="0001018E" w:rsidTr="00BF1F6F">
        <w:tc>
          <w:tcPr>
            <w:tcW w:w="601" w:type="pct"/>
            <w:tcBorders>
              <w:top w:val="single" w:sz="4" w:space="0" w:color="auto"/>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Q1</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0.6</w:t>
            </w:r>
            <w:r>
              <w:rPr>
                <w:rFonts w:ascii="Calibri" w:hAnsi="Calibri"/>
                <w:sz w:val="18"/>
                <w:szCs w:val="18"/>
              </w:rPr>
              <w:t>8</w:t>
            </w:r>
          </w:p>
        </w:tc>
        <w:tc>
          <w:tcPr>
            <w:tcW w:w="668"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w:t>
            </w:r>
            <w:r>
              <w:rPr>
                <w:rFonts w:ascii="Calibri" w:hAnsi="Calibri"/>
                <w:sz w:val="18"/>
                <w:szCs w:val="18"/>
              </w:rPr>
              <w:t>9</w:t>
            </w:r>
          </w:p>
        </w:tc>
        <w:tc>
          <w:tcPr>
            <w:tcW w:w="686"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0.76</w:t>
            </w:r>
          </w:p>
        </w:tc>
        <w:tc>
          <w:tcPr>
            <w:tcW w:w="161" w:type="pct"/>
            <w:tcBorders>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w:t>
            </w:r>
            <w:r>
              <w:rPr>
                <w:rFonts w:ascii="Calibri" w:hAnsi="Calibri"/>
                <w:sz w:val="18"/>
                <w:szCs w:val="18"/>
              </w:rPr>
              <w:t>90</w:t>
            </w:r>
          </w:p>
        </w:tc>
        <w:tc>
          <w:tcPr>
            <w:tcW w:w="659" w:type="pct"/>
            <w:tcBorders>
              <w:top w:val="single" w:sz="4" w:space="0" w:color="auto"/>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0.8</w:t>
            </w:r>
            <w:r>
              <w:rPr>
                <w:rFonts w:ascii="Calibri" w:hAnsi="Calibri"/>
                <w:sz w:val="18"/>
                <w:szCs w:val="18"/>
              </w:rPr>
              <w:t>7</w:t>
            </w:r>
          </w:p>
        </w:tc>
        <w:tc>
          <w:tcPr>
            <w:tcW w:w="694" w:type="pct"/>
            <w:tcBorders>
              <w:top w:val="single" w:sz="4" w:space="0" w:color="auto"/>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0.4</w:t>
            </w:r>
            <w:r>
              <w:rPr>
                <w:rFonts w:ascii="Calibri" w:hAnsi="Calibri"/>
                <w:sz w:val="18"/>
                <w:szCs w:val="18"/>
              </w:rPr>
              <w:t>6</w:t>
            </w:r>
          </w:p>
        </w:tc>
      </w:tr>
      <w:tr w:rsidR="0001018E" w:rsidTr="00BF1F6F">
        <w:tc>
          <w:tcPr>
            <w:tcW w:w="601" w:type="pct"/>
            <w:tcBorders>
              <w:top w:val="nil"/>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Q2</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w:t>
            </w:r>
            <w:r>
              <w:rPr>
                <w:rFonts w:ascii="Calibri" w:hAnsi="Calibri"/>
                <w:sz w:val="18"/>
                <w:szCs w:val="18"/>
              </w:rPr>
              <w:t>4</w:t>
            </w:r>
          </w:p>
        </w:tc>
        <w:tc>
          <w:tcPr>
            <w:tcW w:w="668"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0.84</w:t>
            </w:r>
          </w:p>
        </w:tc>
        <w:tc>
          <w:tcPr>
            <w:tcW w:w="686"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w:t>
            </w:r>
            <w:r>
              <w:rPr>
                <w:rFonts w:ascii="Calibri" w:hAnsi="Calibri"/>
                <w:sz w:val="18"/>
                <w:szCs w:val="18"/>
              </w:rPr>
              <w:t>3</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0.9</w:t>
            </w:r>
            <w:r>
              <w:rPr>
                <w:rFonts w:ascii="Calibri" w:hAnsi="Calibri"/>
                <w:sz w:val="18"/>
                <w:szCs w:val="18"/>
              </w:rPr>
              <w:t>5</w:t>
            </w:r>
          </w:p>
        </w:tc>
        <w:tc>
          <w:tcPr>
            <w:tcW w:w="659" w:type="pct"/>
            <w:tcBorders>
              <w:top w:val="nil"/>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0.9</w:t>
            </w:r>
            <w:r>
              <w:rPr>
                <w:rFonts w:ascii="Calibri" w:hAnsi="Calibri"/>
                <w:sz w:val="18"/>
                <w:szCs w:val="18"/>
              </w:rPr>
              <w:t>2</w:t>
            </w:r>
          </w:p>
        </w:tc>
        <w:tc>
          <w:tcPr>
            <w:tcW w:w="694" w:type="pct"/>
            <w:tcBorders>
              <w:top w:val="nil"/>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0.5</w:t>
            </w:r>
            <w:r>
              <w:rPr>
                <w:rFonts w:ascii="Calibri" w:hAnsi="Calibri"/>
                <w:sz w:val="18"/>
                <w:szCs w:val="18"/>
              </w:rPr>
              <w:t>4</w:t>
            </w:r>
          </w:p>
        </w:tc>
      </w:tr>
      <w:tr w:rsidR="0001018E" w:rsidTr="00BF1F6F">
        <w:tc>
          <w:tcPr>
            <w:tcW w:w="601" w:type="pct"/>
            <w:tcBorders>
              <w:top w:val="nil"/>
              <w:bottom w:val="single" w:sz="4" w:space="0" w:color="auto"/>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Q3</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0.77</w:t>
            </w:r>
          </w:p>
        </w:tc>
        <w:tc>
          <w:tcPr>
            <w:tcW w:w="668"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w:t>
            </w:r>
            <w:r>
              <w:rPr>
                <w:rFonts w:ascii="Calibri" w:hAnsi="Calibri"/>
                <w:sz w:val="18"/>
                <w:szCs w:val="18"/>
              </w:rPr>
              <w:t>6</w:t>
            </w:r>
          </w:p>
        </w:tc>
        <w:tc>
          <w:tcPr>
            <w:tcW w:w="686"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0.84</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0.96</w:t>
            </w:r>
          </w:p>
        </w:tc>
        <w:tc>
          <w:tcPr>
            <w:tcW w:w="659" w:type="pct"/>
            <w:tcBorders>
              <w:top w:val="nil"/>
              <w:bottom w:val="single" w:sz="4" w:space="0" w:color="auto"/>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0.9</w:t>
            </w:r>
            <w:r>
              <w:rPr>
                <w:rFonts w:ascii="Calibri" w:hAnsi="Calibri"/>
                <w:sz w:val="18"/>
                <w:szCs w:val="18"/>
              </w:rPr>
              <w:t>4</w:t>
            </w:r>
          </w:p>
        </w:tc>
        <w:tc>
          <w:tcPr>
            <w:tcW w:w="694" w:type="pct"/>
            <w:tcBorders>
              <w:top w:val="nil"/>
              <w:bottom w:val="single" w:sz="4" w:space="0" w:color="auto"/>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0.57</w:t>
            </w:r>
          </w:p>
        </w:tc>
      </w:tr>
      <w:tr w:rsidR="0001018E" w:rsidTr="00BF1F6F">
        <w:tc>
          <w:tcPr>
            <w:tcW w:w="601" w:type="pct"/>
            <w:tcBorders>
              <w:top w:val="single" w:sz="4" w:space="0" w:color="auto"/>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T1</w:t>
            </w:r>
          </w:p>
        </w:tc>
        <w:tc>
          <w:tcPr>
            <w:tcW w:w="160" w:type="pct"/>
            <w:tcBorders>
              <w:top w:val="nil"/>
              <w:bottom w:val="nil"/>
            </w:tcBorders>
          </w:tcPr>
          <w:p w:rsidR="0001018E" w:rsidRPr="0082351C" w:rsidRDefault="0001018E" w:rsidP="00140802">
            <w:pPr>
              <w:jc w:val="center"/>
              <w:rPr>
                <w:rFonts w:ascii="Calibri" w:hAnsi="Calibri"/>
                <w:sz w:val="18"/>
                <w:szCs w:val="18"/>
              </w:rPr>
            </w:pPr>
          </w:p>
        </w:tc>
        <w:tc>
          <w:tcPr>
            <w:tcW w:w="686" w:type="pct"/>
            <w:tcBorders>
              <w:top w:val="single" w:sz="4" w:space="0" w:color="auto"/>
              <w:bottom w:val="nil"/>
            </w:tcBorders>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0.7</w:t>
            </w:r>
            <w:r w:rsidR="00D7339A">
              <w:rPr>
                <w:rFonts w:ascii="Calibri" w:hAnsi="Calibri"/>
                <w:sz w:val="18"/>
                <w:szCs w:val="18"/>
              </w:rPr>
              <w:t>3</w:t>
            </w:r>
          </w:p>
        </w:tc>
        <w:tc>
          <w:tcPr>
            <w:tcW w:w="668" w:type="pct"/>
            <w:tcBorders>
              <w:top w:val="single" w:sz="4" w:space="0" w:color="auto"/>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tcBorders>
              <w:top w:val="single" w:sz="4" w:space="0" w:color="auto"/>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2</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single" w:sz="4" w:space="0" w:color="auto"/>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0.9</w:t>
            </w:r>
            <w:r w:rsidR="005D7F67">
              <w:rPr>
                <w:rFonts w:ascii="Calibri" w:hAnsi="Calibri"/>
                <w:sz w:val="18"/>
                <w:szCs w:val="18"/>
              </w:rPr>
              <w:t>5</w:t>
            </w:r>
          </w:p>
        </w:tc>
        <w:tc>
          <w:tcPr>
            <w:tcW w:w="659" w:type="pct"/>
            <w:tcBorders>
              <w:top w:val="single" w:sz="4" w:space="0" w:color="auto"/>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0.9</w:t>
            </w:r>
            <w:r w:rsidR="00DA4B35">
              <w:rPr>
                <w:rFonts w:ascii="Calibri" w:hAnsi="Calibri"/>
                <w:sz w:val="18"/>
                <w:szCs w:val="18"/>
                <w:lang w:val="el-GR"/>
              </w:rPr>
              <w:t>1</w:t>
            </w:r>
          </w:p>
        </w:tc>
        <w:tc>
          <w:tcPr>
            <w:tcW w:w="694" w:type="pct"/>
            <w:tcBorders>
              <w:top w:val="single" w:sz="4" w:space="0" w:color="auto"/>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0.51</w:t>
            </w:r>
          </w:p>
        </w:tc>
      </w:tr>
      <w:tr w:rsidR="0001018E" w:rsidTr="00BF1F6F">
        <w:tc>
          <w:tcPr>
            <w:tcW w:w="601" w:type="pct"/>
            <w:tcBorders>
              <w:top w:val="nil"/>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T2</w:t>
            </w:r>
          </w:p>
        </w:tc>
        <w:tc>
          <w:tcPr>
            <w:tcW w:w="160" w:type="pct"/>
            <w:tcBorders>
              <w:top w:val="nil"/>
              <w:bottom w:val="nil"/>
            </w:tcBorders>
          </w:tcPr>
          <w:p w:rsidR="0001018E" w:rsidRPr="0082351C" w:rsidRDefault="0001018E" w:rsidP="00140802">
            <w:pPr>
              <w:jc w:val="center"/>
              <w:rPr>
                <w:rFonts w:ascii="Calibri" w:hAnsi="Calibri"/>
                <w:sz w:val="18"/>
                <w:szCs w:val="18"/>
              </w:rPr>
            </w:pPr>
          </w:p>
        </w:tc>
        <w:tc>
          <w:tcPr>
            <w:tcW w:w="686" w:type="pct"/>
            <w:tcBorders>
              <w:top w:val="nil"/>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0.7</w:t>
            </w:r>
            <w:r w:rsidR="00DA4B35">
              <w:rPr>
                <w:rFonts w:ascii="Calibri" w:hAnsi="Calibri"/>
                <w:sz w:val="18"/>
                <w:szCs w:val="18"/>
                <w:lang w:val="el-GR"/>
              </w:rPr>
              <w:t>3</w:t>
            </w:r>
          </w:p>
        </w:tc>
        <w:tc>
          <w:tcPr>
            <w:tcW w:w="668" w:type="pct"/>
            <w:tcBorders>
              <w:top w:val="nil"/>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tcBorders>
              <w:top w:val="nil"/>
              <w:bottom w:val="nil"/>
            </w:tcBorders>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0.81</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0.9</w:t>
            </w:r>
            <w:r w:rsidR="005D7F67">
              <w:rPr>
                <w:rFonts w:ascii="Calibri" w:hAnsi="Calibri"/>
                <w:sz w:val="18"/>
                <w:szCs w:val="18"/>
              </w:rPr>
              <w:t>4</w:t>
            </w:r>
          </w:p>
        </w:tc>
        <w:tc>
          <w:tcPr>
            <w:tcW w:w="659" w:type="pct"/>
            <w:tcBorders>
              <w:top w:val="nil"/>
              <w:bottom w:val="nil"/>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0.9</w:t>
            </w:r>
            <w:r w:rsidR="00DA4B35">
              <w:rPr>
                <w:rFonts w:ascii="Calibri" w:hAnsi="Calibri"/>
                <w:sz w:val="18"/>
                <w:szCs w:val="18"/>
                <w:lang w:val="el-GR"/>
              </w:rPr>
              <w:t>1</w:t>
            </w:r>
          </w:p>
        </w:tc>
        <w:tc>
          <w:tcPr>
            <w:tcW w:w="694" w:type="pct"/>
            <w:tcBorders>
              <w:top w:val="nil"/>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0.52</w:t>
            </w:r>
          </w:p>
        </w:tc>
      </w:tr>
      <w:tr w:rsidR="0001018E" w:rsidTr="00BF1F6F">
        <w:tc>
          <w:tcPr>
            <w:tcW w:w="601" w:type="pct"/>
            <w:tcBorders>
              <w:top w:val="nil"/>
              <w:bottom w:val="single" w:sz="4" w:space="0" w:color="auto"/>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T3</w:t>
            </w:r>
          </w:p>
        </w:tc>
        <w:tc>
          <w:tcPr>
            <w:tcW w:w="160" w:type="pct"/>
            <w:tcBorders>
              <w:top w:val="nil"/>
              <w:bottom w:val="nil"/>
            </w:tcBorders>
          </w:tcPr>
          <w:p w:rsidR="0001018E" w:rsidRPr="0082351C" w:rsidRDefault="0001018E" w:rsidP="00140802">
            <w:pPr>
              <w:jc w:val="center"/>
              <w:rPr>
                <w:rFonts w:ascii="Calibri" w:hAnsi="Calibri"/>
                <w:sz w:val="18"/>
                <w:szCs w:val="18"/>
              </w:rPr>
            </w:pPr>
          </w:p>
        </w:tc>
        <w:tc>
          <w:tcPr>
            <w:tcW w:w="686" w:type="pct"/>
            <w:tcBorders>
              <w:top w:val="nil"/>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0.7</w:t>
            </w:r>
            <w:r w:rsidR="00DA4B35">
              <w:rPr>
                <w:rFonts w:ascii="Calibri" w:hAnsi="Calibri"/>
                <w:sz w:val="18"/>
                <w:szCs w:val="18"/>
                <w:lang w:val="el-GR"/>
              </w:rPr>
              <w:t>3</w:t>
            </w:r>
          </w:p>
        </w:tc>
        <w:tc>
          <w:tcPr>
            <w:tcW w:w="668" w:type="pct"/>
            <w:tcBorders>
              <w:top w:val="nil"/>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tcBorders>
              <w:top w:val="nil"/>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1</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single" w:sz="4" w:space="0" w:color="auto"/>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0.9</w:t>
            </w:r>
            <w:r w:rsidR="005D7F67">
              <w:rPr>
                <w:rFonts w:ascii="Calibri" w:hAnsi="Calibri"/>
                <w:sz w:val="18"/>
                <w:szCs w:val="18"/>
              </w:rPr>
              <w:t>3</w:t>
            </w:r>
          </w:p>
        </w:tc>
        <w:tc>
          <w:tcPr>
            <w:tcW w:w="659" w:type="pct"/>
            <w:tcBorders>
              <w:top w:val="nil"/>
              <w:bottom w:val="single" w:sz="4" w:space="0" w:color="auto"/>
            </w:tcBorders>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0.90</w:t>
            </w:r>
          </w:p>
        </w:tc>
        <w:tc>
          <w:tcPr>
            <w:tcW w:w="694" w:type="pct"/>
            <w:tcBorders>
              <w:top w:val="nil"/>
              <w:bottom w:val="single" w:sz="4" w:space="0" w:color="auto"/>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0.53</w:t>
            </w:r>
          </w:p>
        </w:tc>
      </w:tr>
      <w:tr w:rsidR="0001018E" w:rsidTr="00BF1F6F">
        <w:tc>
          <w:tcPr>
            <w:tcW w:w="601" w:type="pct"/>
            <w:tcBorders>
              <w:top w:val="single" w:sz="4" w:space="0" w:color="auto"/>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D1</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w:t>
            </w:r>
            <w:r>
              <w:rPr>
                <w:rFonts w:ascii="Calibri" w:hAnsi="Calibri"/>
                <w:sz w:val="18"/>
                <w:szCs w:val="18"/>
              </w:rPr>
              <w:t>7</w:t>
            </w:r>
          </w:p>
        </w:tc>
        <w:tc>
          <w:tcPr>
            <w:tcW w:w="668"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w:t>
            </w:r>
            <w:r>
              <w:rPr>
                <w:rFonts w:ascii="Calibri" w:hAnsi="Calibri"/>
                <w:sz w:val="18"/>
                <w:szCs w:val="18"/>
              </w:rPr>
              <w:t>7</w:t>
            </w:r>
          </w:p>
        </w:tc>
        <w:tc>
          <w:tcPr>
            <w:tcW w:w="686" w:type="pct"/>
            <w:tcBorders>
              <w:top w:val="single" w:sz="4" w:space="0" w:color="auto"/>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0.83</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single" w:sz="4" w:space="0" w:color="auto"/>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0.9</w:t>
            </w:r>
            <w:r>
              <w:rPr>
                <w:rFonts w:ascii="Calibri" w:hAnsi="Calibri"/>
                <w:sz w:val="18"/>
                <w:szCs w:val="18"/>
              </w:rPr>
              <w:t>7</w:t>
            </w:r>
          </w:p>
        </w:tc>
        <w:tc>
          <w:tcPr>
            <w:tcW w:w="659" w:type="pct"/>
            <w:tcBorders>
              <w:top w:val="single" w:sz="4" w:space="0" w:color="auto"/>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0.9</w:t>
            </w:r>
            <w:r>
              <w:rPr>
                <w:rFonts w:ascii="Calibri" w:hAnsi="Calibri"/>
                <w:sz w:val="18"/>
                <w:szCs w:val="18"/>
              </w:rPr>
              <w:t>5</w:t>
            </w:r>
          </w:p>
        </w:tc>
        <w:tc>
          <w:tcPr>
            <w:tcW w:w="694" w:type="pct"/>
            <w:tcBorders>
              <w:top w:val="single" w:sz="4" w:space="0" w:color="auto"/>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0.5</w:t>
            </w:r>
            <w:r>
              <w:rPr>
                <w:rFonts w:ascii="Calibri" w:hAnsi="Calibri"/>
                <w:sz w:val="18"/>
                <w:szCs w:val="18"/>
              </w:rPr>
              <w:t>6</w:t>
            </w:r>
          </w:p>
        </w:tc>
      </w:tr>
      <w:tr w:rsidR="0001018E" w:rsidTr="00BF1F6F">
        <w:tc>
          <w:tcPr>
            <w:tcW w:w="601" w:type="pct"/>
            <w:tcBorders>
              <w:top w:val="nil"/>
              <w:bottom w:val="nil"/>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D2</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w:t>
            </w:r>
            <w:r>
              <w:rPr>
                <w:rFonts w:ascii="Calibri" w:hAnsi="Calibri"/>
                <w:sz w:val="18"/>
                <w:szCs w:val="18"/>
              </w:rPr>
              <w:t>5</w:t>
            </w:r>
          </w:p>
        </w:tc>
        <w:tc>
          <w:tcPr>
            <w:tcW w:w="668"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0.84</w:t>
            </w:r>
          </w:p>
        </w:tc>
        <w:tc>
          <w:tcPr>
            <w:tcW w:w="686" w:type="pct"/>
            <w:tcBorders>
              <w:top w:val="nil"/>
              <w:bottom w:val="nil"/>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0.82</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nil"/>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0.9</w:t>
            </w:r>
            <w:r>
              <w:rPr>
                <w:rFonts w:ascii="Calibri" w:hAnsi="Calibri"/>
                <w:sz w:val="18"/>
                <w:szCs w:val="18"/>
              </w:rPr>
              <w:t>5</w:t>
            </w:r>
          </w:p>
        </w:tc>
        <w:tc>
          <w:tcPr>
            <w:tcW w:w="659" w:type="pct"/>
            <w:tcBorders>
              <w:top w:val="nil"/>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0.92</w:t>
            </w:r>
          </w:p>
        </w:tc>
        <w:tc>
          <w:tcPr>
            <w:tcW w:w="694" w:type="pct"/>
            <w:tcBorders>
              <w:top w:val="nil"/>
              <w:bottom w:val="nil"/>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0.54</w:t>
            </w:r>
          </w:p>
        </w:tc>
      </w:tr>
      <w:tr w:rsidR="0001018E" w:rsidTr="00BF1F6F">
        <w:tc>
          <w:tcPr>
            <w:tcW w:w="601" w:type="pct"/>
            <w:tcBorders>
              <w:top w:val="nil"/>
              <w:bottom w:val="single" w:sz="4" w:space="0" w:color="auto"/>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D3</w:t>
            </w:r>
          </w:p>
        </w:tc>
        <w:tc>
          <w:tcPr>
            <w:tcW w:w="160" w:type="pct"/>
            <w:tcBorders>
              <w:top w:val="nil"/>
              <w:bottom w:val="nil"/>
            </w:tcBorders>
          </w:tcPr>
          <w:p w:rsidR="0001018E" w:rsidRPr="0082351C" w:rsidRDefault="0001018E" w:rsidP="0082351C">
            <w:pPr>
              <w:jc w:val="center"/>
              <w:rPr>
                <w:rFonts w:ascii="Calibri" w:hAnsi="Calibri"/>
                <w:sz w:val="18"/>
                <w:szCs w:val="18"/>
              </w:rPr>
            </w:pPr>
          </w:p>
        </w:tc>
        <w:tc>
          <w:tcPr>
            <w:tcW w:w="686"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0.67</w:t>
            </w:r>
          </w:p>
        </w:tc>
        <w:tc>
          <w:tcPr>
            <w:tcW w:w="668"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0.77</w:t>
            </w:r>
          </w:p>
        </w:tc>
        <w:tc>
          <w:tcPr>
            <w:tcW w:w="686" w:type="pct"/>
            <w:tcBorders>
              <w:top w:val="nil"/>
              <w:bottom w:val="single" w:sz="4" w:space="0" w:color="auto"/>
            </w:tcBorders>
            <w:vAlign w:val="bottom"/>
          </w:tcPr>
          <w:p w:rsidR="0001018E" w:rsidRPr="0082351C" w:rsidRDefault="0001018E" w:rsidP="005D7F67">
            <w:pPr>
              <w:jc w:val="center"/>
              <w:rPr>
                <w:rFonts w:ascii="Calibri" w:hAnsi="Calibri"/>
                <w:sz w:val="18"/>
                <w:szCs w:val="18"/>
              </w:rPr>
            </w:pPr>
            <w:r w:rsidRPr="0082351C">
              <w:rPr>
                <w:rFonts w:ascii="Calibri" w:hAnsi="Calibri"/>
                <w:sz w:val="18"/>
                <w:szCs w:val="18"/>
              </w:rPr>
              <w:t>0.7</w:t>
            </w:r>
            <w:r w:rsidR="005D7F67">
              <w:rPr>
                <w:rFonts w:ascii="Calibri" w:hAnsi="Calibri"/>
                <w:sz w:val="18"/>
                <w:szCs w:val="18"/>
              </w:rPr>
              <w:t>8</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nil"/>
              <w:bottom w:val="single" w:sz="4" w:space="0" w:color="auto"/>
            </w:tcBorders>
            <w:vAlign w:val="bottom"/>
          </w:tcPr>
          <w:p w:rsidR="0001018E" w:rsidRPr="0082351C" w:rsidRDefault="0001018E" w:rsidP="0082351C">
            <w:pPr>
              <w:jc w:val="center"/>
              <w:rPr>
                <w:rFonts w:ascii="Calibri" w:hAnsi="Calibri"/>
                <w:sz w:val="18"/>
                <w:szCs w:val="18"/>
              </w:rPr>
            </w:pPr>
            <w:r w:rsidRPr="0082351C">
              <w:rPr>
                <w:rFonts w:ascii="Calibri" w:hAnsi="Calibri"/>
                <w:sz w:val="18"/>
                <w:szCs w:val="18"/>
              </w:rPr>
              <w:t>0.</w:t>
            </w:r>
            <w:r>
              <w:rPr>
                <w:rFonts w:ascii="Calibri" w:hAnsi="Calibri"/>
                <w:sz w:val="18"/>
                <w:szCs w:val="18"/>
              </w:rPr>
              <w:t>90</w:t>
            </w:r>
          </w:p>
        </w:tc>
        <w:tc>
          <w:tcPr>
            <w:tcW w:w="659" w:type="pct"/>
            <w:tcBorders>
              <w:top w:val="nil"/>
              <w:bottom w:val="single" w:sz="4" w:space="0" w:color="auto"/>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0.8</w:t>
            </w:r>
            <w:r>
              <w:rPr>
                <w:rFonts w:ascii="Calibri" w:hAnsi="Calibri"/>
                <w:sz w:val="18"/>
                <w:szCs w:val="18"/>
              </w:rPr>
              <w:t>6</w:t>
            </w:r>
          </w:p>
        </w:tc>
        <w:tc>
          <w:tcPr>
            <w:tcW w:w="694" w:type="pct"/>
            <w:tcBorders>
              <w:top w:val="nil"/>
              <w:bottom w:val="single" w:sz="4" w:space="0" w:color="auto"/>
            </w:tcBorders>
            <w:vAlign w:val="bottom"/>
          </w:tcPr>
          <w:p w:rsidR="0001018E" w:rsidRPr="0082351C" w:rsidRDefault="0001018E" w:rsidP="00B32C7E">
            <w:pPr>
              <w:jc w:val="center"/>
              <w:rPr>
                <w:rFonts w:ascii="Calibri" w:hAnsi="Calibri"/>
                <w:sz w:val="18"/>
                <w:szCs w:val="18"/>
              </w:rPr>
            </w:pPr>
            <w:r w:rsidRPr="0082351C">
              <w:rPr>
                <w:rFonts w:ascii="Calibri" w:hAnsi="Calibri"/>
                <w:sz w:val="18"/>
                <w:szCs w:val="18"/>
              </w:rPr>
              <w:t>0.4</w:t>
            </w:r>
            <w:r>
              <w:rPr>
                <w:rFonts w:ascii="Calibri" w:hAnsi="Calibri"/>
                <w:sz w:val="18"/>
                <w:szCs w:val="18"/>
              </w:rPr>
              <w:t>8</w:t>
            </w:r>
          </w:p>
        </w:tc>
      </w:tr>
      <w:tr w:rsidR="0001018E" w:rsidTr="00BF1F6F">
        <w:tc>
          <w:tcPr>
            <w:tcW w:w="601" w:type="pct"/>
            <w:tcBorders>
              <w:top w:val="single" w:sz="4" w:space="0" w:color="auto"/>
            </w:tcBorders>
          </w:tcPr>
          <w:p w:rsidR="0001018E" w:rsidRPr="001F431C" w:rsidRDefault="00422F71" w:rsidP="00140802">
            <w:pPr>
              <w:pStyle w:val="RoadefTexte"/>
              <w:spacing w:line="276" w:lineRule="auto"/>
              <w:ind w:firstLine="0"/>
              <w:jc w:val="left"/>
              <w:rPr>
                <w:rFonts w:asciiTheme="minorHAnsi" w:hAnsiTheme="minorHAnsi"/>
                <w:b/>
                <w:sz w:val="18"/>
                <w:szCs w:val="18"/>
                <w:lang w:val="en-US"/>
              </w:rPr>
            </w:pPr>
            <w:r>
              <w:rPr>
                <w:rFonts w:asciiTheme="minorHAnsi" w:hAnsiTheme="minorHAnsi"/>
                <w:b/>
                <w:sz w:val="18"/>
                <w:szCs w:val="18"/>
                <w:lang w:val="en-US"/>
              </w:rPr>
              <w:t>s1</w:t>
            </w:r>
          </w:p>
        </w:tc>
        <w:tc>
          <w:tcPr>
            <w:tcW w:w="160" w:type="pct"/>
            <w:tcBorders>
              <w:top w:val="nil"/>
              <w:bottom w:val="nil"/>
            </w:tcBorders>
          </w:tcPr>
          <w:p w:rsidR="0001018E" w:rsidRPr="0082351C" w:rsidRDefault="0001018E" w:rsidP="00140802">
            <w:pPr>
              <w:jc w:val="center"/>
              <w:rPr>
                <w:rFonts w:ascii="Calibri" w:hAnsi="Calibri"/>
                <w:sz w:val="18"/>
                <w:szCs w:val="18"/>
              </w:rPr>
            </w:pPr>
          </w:p>
        </w:tc>
        <w:tc>
          <w:tcPr>
            <w:tcW w:w="686" w:type="pct"/>
            <w:tcBorders>
              <w:top w:val="single" w:sz="4" w:space="0" w:color="auto"/>
            </w:tcBorders>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0.73</w:t>
            </w:r>
          </w:p>
        </w:tc>
        <w:tc>
          <w:tcPr>
            <w:tcW w:w="668" w:type="pct"/>
            <w:tcBorders>
              <w:top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tcBorders>
              <w:top w:val="single" w:sz="4" w:space="0" w:color="auto"/>
            </w:tcBorders>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0.81</w:t>
            </w:r>
          </w:p>
        </w:tc>
        <w:tc>
          <w:tcPr>
            <w:tcW w:w="161" w:type="pct"/>
            <w:tcBorders>
              <w:top w:val="nil"/>
              <w:bottom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top w:val="single" w:sz="4" w:space="0" w:color="auto"/>
            </w:tcBorders>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0.9</w:t>
            </w:r>
            <w:r w:rsidR="00D7339A">
              <w:rPr>
                <w:rFonts w:ascii="Calibri" w:hAnsi="Calibri"/>
                <w:sz w:val="18"/>
                <w:szCs w:val="18"/>
              </w:rPr>
              <w:t>4</w:t>
            </w:r>
          </w:p>
        </w:tc>
        <w:tc>
          <w:tcPr>
            <w:tcW w:w="659" w:type="pct"/>
            <w:tcBorders>
              <w:top w:val="single" w:sz="4" w:space="0" w:color="auto"/>
            </w:tcBorders>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0.91</w:t>
            </w:r>
          </w:p>
        </w:tc>
        <w:tc>
          <w:tcPr>
            <w:tcW w:w="694" w:type="pct"/>
            <w:tcBorders>
              <w:top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0.5</w:t>
            </w:r>
            <w:r w:rsidR="00DA4B35">
              <w:rPr>
                <w:rFonts w:ascii="Calibri" w:hAnsi="Calibri"/>
                <w:sz w:val="18"/>
                <w:szCs w:val="18"/>
                <w:lang w:val="el-GR"/>
              </w:rPr>
              <w:t>3</w:t>
            </w:r>
          </w:p>
        </w:tc>
      </w:tr>
      <w:tr w:rsidR="0001018E" w:rsidTr="00BF1F6F">
        <w:tc>
          <w:tcPr>
            <w:tcW w:w="601" w:type="pct"/>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s2</w:t>
            </w:r>
          </w:p>
        </w:tc>
        <w:tc>
          <w:tcPr>
            <w:tcW w:w="160" w:type="pct"/>
            <w:tcBorders>
              <w:top w:val="nil"/>
            </w:tcBorders>
          </w:tcPr>
          <w:p w:rsidR="0001018E" w:rsidRPr="0082351C" w:rsidRDefault="0001018E" w:rsidP="00140802">
            <w:pPr>
              <w:jc w:val="center"/>
              <w:rPr>
                <w:rFonts w:ascii="Calibri" w:hAnsi="Calibri"/>
                <w:sz w:val="18"/>
                <w:szCs w:val="18"/>
              </w:rPr>
            </w:pPr>
          </w:p>
        </w:tc>
        <w:tc>
          <w:tcPr>
            <w:tcW w:w="686" w:type="pct"/>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0.7</w:t>
            </w:r>
            <w:r w:rsidR="00D7339A">
              <w:rPr>
                <w:rFonts w:ascii="Calibri" w:hAnsi="Calibri"/>
                <w:sz w:val="18"/>
                <w:szCs w:val="18"/>
              </w:rPr>
              <w:t>3</w:t>
            </w:r>
          </w:p>
        </w:tc>
        <w:tc>
          <w:tcPr>
            <w:tcW w:w="668" w:type="pct"/>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0.81</w:t>
            </w:r>
          </w:p>
        </w:tc>
        <w:tc>
          <w:tcPr>
            <w:tcW w:w="161" w:type="pct"/>
            <w:tcBorders>
              <w:top w:val="nil"/>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0.9</w:t>
            </w:r>
            <w:r w:rsidR="00D7339A">
              <w:rPr>
                <w:rFonts w:ascii="Calibri" w:hAnsi="Calibri"/>
                <w:sz w:val="18"/>
                <w:szCs w:val="18"/>
              </w:rPr>
              <w:t>4</w:t>
            </w:r>
          </w:p>
        </w:tc>
        <w:tc>
          <w:tcPr>
            <w:tcW w:w="659" w:type="pct"/>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0.9</w:t>
            </w:r>
            <w:r w:rsidR="00DA4B35">
              <w:rPr>
                <w:rFonts w:ascii="Calibri" w:hAnsi="Calibri"/>
                <w:sz w:val="18"/>
                <w:szCs w:val="18"/>
                <w:lang w:val="el-GR"/>
              </w:rPr>
              <w:t>1</w:t>
            </w:r>
          </w:p>
        </w:tc>
        <w:tc>
          <w:tcPr>
            <w:tcW w:w="694" w:type="pct"/>
            <w:vAlign w:val="bottom"/>
          </w:tcPr>
          <w:p w:rsidR="0001018E" w:rsidRPr="0082351C" w:rsidRDefault="0001018E" w:rsidP="00DA4B35">
            <w:pPr>
              <w:jc w:val="center"/>
              <w:rPr>
                <w:rFonts w:ascii="Calibri" w:hAnsi="Calibri"/>
                <w:sz w:val="18"/>
                <w:szCs w:val="18"/>
              </w:rPr>
            </w:pPr>
            <w:r w:rsidRPr="0082351C">
              <w:rPr>
                <w:rFonts w:ascii="Calibri" w:hAnsi="Calibri"/>
                <w:sz w:val="18"/>
                <w:szCs w:val="18"/>
              </w:rPr>
              <w:t>0.52</w:t>
            </w:r>
          </w:p>
        </w:tc>
      </w:tr>
      <w:tr w:rsidR="0001018E" w:rsidTr="00BF1F6F">
        <w:tc>
          <w:tcPr>
            <w:tcW w:w="601" w:type="pct"/>
            <w:tcBorders>
              <w:bottom w:val="single" w:sz="4" w:space="0" w:color="auto"/>
            </w:tcBorders>
          </w:tcPr>
          <w:p w:rsidR="0001018E" w:rsidRPr="001F431C" w:rsidRDefault="0001018E" w:rsidP="00140802">
            <w:pPr>
              <w:pStyle w:val="RoadefTexte"/>
              <w:spacing w:line="276" w:lineRule="auto"/>
              <w:ind w:firstLine="0"/>
              <w:jc w:val="left"/>
              <w:rPr>
                <w:rFonts w:asciiTheme="minorHAnsi" w:hAnsiTheme="minorHAnsi"/>
                <w:b/>
                <w:sz w:val="18"/>
                <w:szCs w:val="18"/>
                <w:lang w:val="en-US"/>
              </w:rPr>
            </w:pPr>
            <w:r w:rsidRPr="001F431C">
              <w:rPr>
                <w:rFonts w:asciiTheme="minorHAnsi" w:hAnsiTheme="minorHAnsi"/>
                <w:b/>
                <w:sz w:val="18"/>
                <w:szCs w:val="18"/>
                <w:lang w:val="en-US"/>
              </w:rPr>
              <w:t>s3</w:t>
            </w:r>
          </w:p>
        </w:tc>
        <w:tc>
          <w:tcPr>
            <w:tcW w:w="160" w:type="pct"/>
            <w:tcBorders>
              <w:bottom w:val="single" w:sz="4" w:space="0" w:color="auto"/>
            </w:tcBorders>
          </w:tcPr>
          <w:p w:rsidR="0001018E" w:rsidRPr="0082351C" w:rsidRDefault="0001018E" w:rsidP="00140802">
            <w:pPr>
              <w:jc w:val="center"/>
              <w:rPr>
                <w:rFonts w:ascii="Calibri" w:hAnsi="Calibri"/>
                <w:sz w:val="18"/>
                <w:szCs w:val="18"/>
              </w:rPr>
            </w:pPr>
          </w:p>
        </w:tc>
        <w:tc>
          <w:tcPr>
            <w:tcW w:w="686" w:type="pct"/>
            <w:tcBorders>
              <w:bottom w:val="single" w:sz="4" w:space="0" w:color="auto"/>
            </w:tcBorders>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0.72</w:t>
            </w:r>
          </w:p>
        </w:tc>
        <w:tc>
          <w:tcPr>
            <w:tcW w:w="668" w:type="pct"/>
            <w:tcBorders>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3</w:t>
            </w:r>
          </w:p>
        </w:tc>
        <w:tc>
          <w:tcPr>
            <w:tcW w:w="686" w:type="pct"/>
            <w:tcBorders>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0.8</w:t>
            </w:r>
            <w:r w:rsidR="00DA4B35">
              <w:rPr>
                <w:rFonts w:ascii="Calibri" w:hAnsi="Calibri"/>
                <w:sz w:val="18"/>
                <w:szCs w:val="18"/>
                <w:lang w:val="el-GR"/>
              </w:rPr>
              <w:t>1</w:t>
            </w:r>
          </w:p>
        </w:tc>
        <w:tc>
          <w:tcPr>
            <w:tcW w:w="161" w:type="pct"/>
            <w:tcBorders>
              <w:bottom w:val="single" w:sz="4" w:space="0" w:color="auto"/>
            </w:tcBorders>
          </w:tcPr>
          <w:p w:rsidR="0001018E" w:rsidRPr="0082351C" w:rsidRDefault="0001018E" w:rsidP="00140802">
            <w:pPr>
              <w:pStyle w:val="RoadefTexte"/>
              <w:spacing w:line="276" w:lineRule="auto"/>
              <w:ind w:firstLine="0"/>
              <w:jc w:val="center"/>
              <w:rPr>
                <w:rFonts w:asciiTheme="minorHAnsi" w:hAnsiTheme="minorHAnsi"/>
                <w:b/>
                <w:sz w:val="18"/>
                <w:szCs w:val="18"/>
                <w:lang w:val="en-US"/>
              </w:rPr>
            </w:pPr>
          </w:p>
        </w:tc>
        <w:tc>
          <w:tcPr>
            <w:tcW w:w="686" w:type="pct"/>
            <w:tcBorders>
              <w:bottom w:val="single" w:sz="4" w:space="0" w:color="auto"/>
            </w:tcBorders>
            <w:vAlign w:val="bottom"/>
          </w:tcPr>
          <w:p w:rsidR="0001018E" w:rsidRPr="0082351C" w:rsidRDefault="0001018E" w:rsidP="00D7339A">
            <w:pPr>
              <w:jc w:val="center"/>
              <w:rPr>
                <w:rFonts w:ascii="Calibri" w:hAnsi="Calibri"/>
                <w:sz w:val="18"/>
                <w:szCs w:val="18"/>
              </w:rPr>
            </w:pPr>
            <w:r w:rsidRPr="0082351C">
              <w:rPr>
                <w:rFonts w:ascii="Calibri" w:hAnsi="Calibri"/>
                <w:sz w:val="18"/>
                <w:szCs w:val="18"/>
              </w:rPr>
              <w:t>0.93</w:t>
            </w:r>
          </w:p>
        </w:tc>
        <w:tc>
          <w:tcPr>
            <w:tcW w:w="659" w:type="pct"/>
            <w:tcBorders>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0.9</w:t>
            </w:r>
            <w:r w:rsidR="00DA4B35">
              <w:rPr>
                <w:rFonts w:ascii="Calibri" w:hAnsi="Calibri"/>
                <w:sz w:val="18"/>
                <w:szCs w:val="18"/>
                <w:lang w:val="el-GR"/>
              </w:rPr>
              <w:t>1</w:t>
            </w:r>
          </w:p>
        </w:tc>
        <w:tc>
          <w:tcPr>
            <w:tcW w:w="694" w:type="pct"/>
            <w:tcBorders>
              <w:bottom w:val="single" w:sz="4" w:space="0" w:color="auto"/>
            </w:tcBorders>
            <w:vAlign w:val="bottom"/>
          </w:tcPr>
          <w:p w:rsidR="0001018E" w:rsidRPr="00DA4B35" w:rsidRDefault="0001018E" w:rsidP="00DA4B35">
            <w:pPr>
              <w:jc w:val="center"/>
              <w:rPr>
                <w:rFonts w:ascii="Calibri" w:hAnsi="Calibri"/>
                <w:sz w:val="18"/>
                <w:szCs w:val="18"/>
                <w:lang w:val="el-GR"/>
              </w:rPr>
            </w:pPr>
            <w:r w:rsidRPr="0082351C">
              <w:rPr>
                <w:rFonts w:ascii="Calibri" w:hAnsi="Calibri"/>
                <w:sz w:val="18"/>
                <w:szCs w:val="18"/>
              </w:rPr>
              <w:t>0.5</w:t>
            </w:r>
            <w:r w:rsidR="00DA4B35">
              <w:rPr>
                <w:rFonts w:ascii="Calibri" w:hAnsi="Calibri"/>
                <w:sz w:val="18"/>
                <w:szCs w:val="18"/>
                <w:lang w:val="el-GR"/>
              </w:rPr>
              <w:t>2</w:t>
            </w:r>
          </w:p>
        </w:tc>
      </w:tr>
    </w:tbl>
    <w:p w:rsidR="007D3AA8" w:rsidRPr="00F54A58" w:rsidRDefault="007D3AA8" w:rsidP="000105E9">
      <w:pPr>
        <w:pStyle w:val="RoadefTexte"/>
        <w:spacing w:line="276" w:lineRule="auto"/>
        <w:ind w:firstLine="0"/>
        <w:rPr>
          <w:rFonts w:asciiTheme="minorHAnsi" w:hAnsiTheme="minorHAnsi"/>
          <w:b/>
          <w:lang w:val="en-US"/>
        </w:rPr>
      </w:pPr>
    </w:p>
    <w:p w:rsidR="00B30174" w:rsidRDefault="007A4326" w:rsidP="00F00EA5">
      <w:pPr>
        <w:pStyle w:val="RoadefTexte"/>
        <w:spacing w:line="276" w:lineRule="auto"/>
        <w:ind w:firstLine="720"/>
        <w:rPr>
          <w:rFonts w:asciiTheme="minorHAnsi" w:hAnsiTheme="minorHAnsi"/>
          <w:lang w:val="en-US"/>
        </w:rPr>
      </w:pPr>
      <w:bookmarkStart w:id="451" w:name="OLE_LINK852"/>
      <w:r>
        <w:rPr>
          <w:rFonts w:asciiTheme="minorHAnsi" w:hAnsiTheme="minorHAnsi"/>
          <w:lang w:val="en-US"/>
        </w:rPr>
        <w:t>In the following, we</w:t>
      </w:r>
      <w:r w:rsidR="009B48CE">
        <w:rPr>
          <w:rFonts w:asciiTheme="minorHAnsi" w:hAnsiTheme="minorHAnsi"/>
          <w:lang w:val="en-US"/>
        </w:rPr>
        <w:t xml:space="preserve"> </w:t>
      </w:r>
      <w:bookmarkEnd w:id="451"/>
      <w:r w:rsidR="009B48CE">
        <w:rPr>
          <w:rFonts w:asciiTheme="minorHAnsi" w:hAnsiTheme="minorHAnsi"/>
          <w:lang w:val="en-US"/>
        </w:rPr>
        <w:t xml:space="preserve">take a close look at </w:t>
      </w:r>
      <w:r w:rsidR="00FA3CE1">
        <w:rPr>
          <w:rFonts w:asciiTheme="minorHAnsi" w:hAnsiTheme="minorHAnsi"/>
          <w:lang w:val="en-US"/>
        </w:rPr>
        <w:t>the obtained results</w:t>
      </w:r>
      <w:r w:rsidR="00830DF0">
        <w:rPr>
          <w:rFonts w:asciiTheme="minorHAnsi" w:hAnsiTheme="minorHAnsi"/>
          <w:lang w:val="en-US"/>
        </w:rPr>
        <w:t>,</w:t>
      </w:r>
      <w:r w:rsidR="009B48CE">
        <w:rPr>
          <w:rFonts w:asciiTheme="minorHAnsi" w:hAnsiTheme="minorHAnsi"/>
          <w:lang w:val="en-US"/>
        </w:rPr>
        <w:t xml:space="preserve"> in pursuit of useful conclusions on the impact of the tested parameters on the relative suitability of the VRPCD and PDP models</w:t>
      </w:r>
      <w:r w:rsidR="00F839DA">
        <w:rPr>
          <w:rFonts w:asciiTheme="minorHAnsi" w:hAnsiTheme="minorHAnsi"/>
          <w:lang w:val="en-US"/>
        </w:rPr>
        <w:t xml:space="preserve"> </w:t>
      </w:r>
      <w:r w:rsidR="00F839DA" w:rsidRPr="00F839DA">
        <w:rPr>
          <w:rFonts w:asciiTheme="minorHAnsi" w:hAnsiTheme="minorHAnsi"/>
          <w:lang w:val="en-US"/>
        </w:rPr>
        <w:t>with respect to the different geographic distribution classes (</w:t>
      </w:r>
      <w:r w:rsidR="00F839DA" w:rsidRPr="00BF38C1">
        <w:rPr>
          <w:rFonts w:asciiTheme="minorHAnsi" w:hAnsiTheme="minorHAnsi"/>
          <w:i/>
          <w:lang w:val="en-US"/>
        </w:rPr>
        <w:t>R, RC, C</w:t>
      </w:r>
      <w:r w:rsidR="00F839DA" w:rsidRPr="00F839DA">
        <w:rPr>
          <w:rFonts w:asciiTheme="minorHAnsi" w:hAnsiTheme="minorHAnsi"/>
          <w:lang w:val="en-US"/>
        </w:rPr>
        <w:t>) and the supplier-customer pair distances classes (</w:t>
      </w:r>
      <w:r w:rsidR="00F839DA" w:rsidRPr="00BF38C1">
        <w:rPr>
          <w:rFonts w:asciiTheme="minorHAnsi" w:hAnsiTheme="minorHAnsi"/>
          <w:i/>
          <w:lang w:val="en-US"/>
        </w:rPr>
        <w:t>DS, DCL, CL</w:t>
      </w:r>
      <w:r w:rsidR="00F839DA" w:rsidRPr="00F839DA">
        <w:rPr>
          <w:rFonts w:asciiTheme="minorHAnsi" w:hAnsiTheme="minorHAnsi"/>
          <w:lang w:val="en-US"/>
        </w:rPr>
        <w:t>)</w:t>
      </w:r>
      <w:r w:rsidR="009B48CE">
        <w:rPr>
          <w:rFonts w:asciiTheme="minorHAnsi" w:hAnsiTheme="minorHAnsi"/>
          <w:lang w:val="en-US"/>
        </w:rPr>
        <w:t>.</w:t>
      </w:r>
      <w:r w:rsidR="009E3CE5">
        <w:rPr>
          <w:rFonts w:asciiTheme="minorHAnsi" w:hAnsiTheme="minorHAnsi"/>
          <w:lang w:val="en-US"/>
        </w:rPr>
        <w:t xml:space="preserve"> </w:t>
      </w:r>
    </w:p>
    <w:p w:rsidR="00F00EA5" w:rsidRDefault="004A7F14" w:rsidP="00F00EA5">
      <w:pPr>
        <w:pStyle w:val="RoadefTexte"/>
        <w:tabs>
          <w:tab w:val="left" w:pos="0"/>
        </w:tabs>
        <w:spacing w:after="0" w:line="276" w:lineRule="auto"/>
        <w:ind w:firstLine="0"/>
        <w:rPr>
          <w:rFonts w:asciiTheme="minorHAnsi" w:hAnsiTheme="minorHAnsi"/>
          <w:b/>
          <w:lang w:val="en-US"/>
        </w:rPr>
      </w:pPr>
      <w:bookmarkStart w:id="452" w:name="OLE_LINK297"/>
      <w:bookmarkStart w:id="453" w:name="OLE_LINK298"/>
      <w:bookmarkStart w:id="454" w:name="OLE_LINK722"/>
      <w:bookmarkStart w:id="455" w:name="OLE_LINK723"/>
      <w:r w:rsidRPr="00F00EA5">
        <w:rPr>
          <w:rFonts w:asciiTheme="minorHAnsi" w:hAnsiTheme="minorHAnsi"/>
          <w:i/>
          <w:lang w:val="en-US"/>
        </w:rPr>
        <w:t>V</w:t>
      </w:r>
      <w:r w:rsidR="001D749C" w:rsidRPr="00F00EA5">
        <w:rPr>
          <w:rFonts w:asciiTheme="minorHAnsi" w:hAnsiTheme="minorHAnsi"/>
          <w:i/>
          <w:lang w:val="en-US"/>
        </w:rPr>
        <w:t xml:space="preserve">ehicle </w:t>
      </w:r>
      <w:r w:rsidR="00F22E7A" w:rsidRPr="00F00EA5">
        <w:rPr>
          <w:rFonts w:asciiTheme="minorHAnsi" w:hAnsiTheme="minorHAnsi"/>
          <w:i/>
          <w:lang w:val="en-US"/>
        </w:rPr>
        <w:t>c</w:t>
      </w:r>
      <w:r w:rsidR="004151BB" w:rsidRPr="00F00EA5">
        <w:rPr>
          <w:rFonts w:asciiTheme="minorHAnsi" w:hAnsiTheme="minorHAnsi"/>
          <w:i/>
          <w:lang w:val="en-US"/>
        </w:rPr>
        <w:t>apacity</w:t>
      </w:r>
      <w:r w:rsidR="00863CD9" w:rsidRPr="00F00EA5">
        <w:rPr>
          <w:rFonts w:asciiTheme="minorHAnsi" w:hAnsiTheme="minorHAnsi"/>
          <w:i/>
          <w:lang w:val="en-US"/>
        </w:rPr>
        <w:t xml:space="preserve"> (Q)</w:t>
      </w:r>
      <w:r w:rsidR="00C86AA1">
        <w:rPr>
          <w:rFonts w:asciiTheme="minorHAnsi" w:hAnsiTheme="minorHAnsi"/>
          <w:b/>
          <w:lang w:val="en-US"/>
        </w:rPr>
        <w:t xml:space="preserve"> </w:t>
      </w:r>
    </w:p>
    <w:p w:rsidR="00765D33" w:rsidRDefault="00F75C4B" w:rsidP="00F00EA5">
      <w:pPr>
        <w:pStyle w:val="RoadefTexte"/>
        <w:tabs>
          <w:tab w:val="left" w:pos="0"/>
        </w:tabs>
        <w:spacing w:after="0" w:line="276" w:lineRule="auto"/>
        <w:ind w:firstLine="0"/>
        <w:rPr>
          <w:rFonts w:asciiTheme="minorHAnsi" w:hAnsiTheme="minorHAnsi"/>
          <w:lang w:val="en-US"/>
        </w:rPr>
      </w:pPr>
      <w:r w:rsidRPr="00F75C4B">
        <w:rPr>
          <w:rFonts w:asciiTheme="minorHAnsi" w:hAnsiTheme="minorHAnsi"/>
          <w:lang w:val="en-US"/>
        </w:rPr>
        <w:t xml:space="preserve">The </w:t>
      </w:r>
      <w:r w:rsidR="004D0592" w:rsidRPr="00F75C4B">
        <w:rPr>
          <w:rFonts w:asciiTheme="minorHAnsi" w:hAnsiTheme="minorHAnsi"/>
          <w:lang w:val="en-US"/>
        </w:rPr>
        <w:t xml:space="preserve">relative performance of the two </w:t>
      </w:r>
      <w:r w:rsidR="00921756">
        <w:rPr>
          <w:rFonts w:asciiTheme="minorHAnsi" w:hAnsiTheme="minorHAnsi"/>
          <w:lang w:val="en-US"/>
        </w:rPr>
        <w:t>strategies</w:t>
      </w:r>
      <w:r w:rsidR="004D0592" w:rsidRPr="00F75C4B">
        <w:rPr>
          <w:rFonts w:asciiTheme="minorHAnsi" w:hAnsiTheme="minorHAnsi"/>
          <w:lang w:val="en-US"/>
        </w:rPr>
        <w:t xml:space="preserve"> is expected to be sensitive </w:t>
      </w:r>
      <w:r w:rsidR="004D0592" w:rsidRPr="00A620E5">
        <w:rPr>
          <w:rFonts w:asciiTheme="minorHAnsi" w:hAnsiTheme="minorHAnsi"/>
          <w:lang w:val="en-US"/>
        </w:rPr>
        <w:t>to</w:t>
      </w:r>
      <w:r w:rsidR="004104CC" w:rsidRPr="00A620E5">
        <w:rPr>
          <w:rFonts w:asciiTheme="minorHAnsi" w:hAnsiTheme="minorHAnsi"/>
          <w:lang w:val="en-US"/>
        </w:rPr>
        <w:t xml:space="preserve"> the </w:t>
      </w:r>
      <w:r w:rsidR="004D0592" w:rsidRPr="00A620E5">
        <w:rPr>
          <w:rFonts w:asciiTheme="minorHAnsi" w:hAnsiTheme="minorHAnsi"/>
          <w:lang w:val="en-US"/>
        </w:rPr>
        <w:t>vehicle capacity</w:t>
      </w:r>
      <w:bookmarkStart w:id="456" w:name="OLE_LINK226"/>
      <w:bookmarkStart w:id="457" w:name="OLE_LINK232"/>
      <w:bookmarkStart w:id="458" w:name="OLE_LINK233"/>
      <w:r w:rsidR="004104CC" w:rsidRPr="00A620E5">
        <w:rPr>
          <w:rFonts w:asciiTheme="minorHAnsi" w:hAnsiTheme="minorHAnsi"/>
          <w:lang w:val="en-US"/>
        </w:rPr>
        <w:t>.</w:t>
      </w:r>
      <w:bookmarkEnd w:id="456"/>
      <w:bookmarkEnd w:id="457"/>
      <w:bookmarkEnd w:id="458"/>
      <w:r w:rsidR="008F68CB">
        <w:rPr>
          <w:rFonts w:asciiTheme="minorHAnsi" w:hAnsiTheme="minorHAnsi"/>
          <w:lang w:val="en-US"/>
        </w:rPr>
        <w:t xml:space="preserve"> </w:t>
      </w:r>
      <w:r w:rsidR="00F839DA">
        <w:rPr>
          <w:rFonts w:asciiTheme="minorHAnsi" w:hAnsiTheme="minorHAnsi"/>
          <w:lang w:val="en-US"/>
        </w:rPr>
        <w:t>Figure</w:t>
      </w:r>
      <w:r w:rsidR="003161E7" w:rsidRPr="00A620E5">
        <w:rPr>
          <w:rFonts w:asciiTheme="minorHAnsi" w:hAnsiTheme="minorHAnsi"/>
          <w:lang w:val="en-US"/>
        </w:rPr>
        <w:t xml:space="preserve"> </w:t>
      </w:r>
      <w:r w:rsidR="00F839DA">
        <w:rPr>
          <w:rFonts w:asciiTheme="minorHAnsi" w:hAnsiTheme="minorHAnsi"/>
          <w:lang w:val="en-US"/>
        </w:rPr>
        <w:t xml:space="preserve">3 </w:t>
      </w:r>
      <w:r w:rsidR="003161E7" w:rsidRPr="00A620E5">
        <w:rPr>
          <w:rFonts w:asciiTheme="minorHAnsi" w:hAnsiTheme="minorHAnsi"/>
          <w:lang w:val="en-US"/>
        </w:rPr>
        <w:t>graphically depict</w:t>
      </w:r>
      <w:r w:rsidR="00F839DA">
        <w:rPr>
          <w:rFonts w:asciiTheme="minorHAnsi" w:hAnsiTheme="minorHAnsi"/>
          <w:lang w:val="en-US"/>
        </w:rPr>
        <w:t>s</w:t>
      </w:r>
      <w:r w:rsidR="003161E7" w:rsidRPr="00A620E5">
        <w:rPr>
          <w:rFonts w:asciiTheme="minorHAnsi" w:hAnsiTheme="minorHAnsi"/>
          <w:lang w:val="en-US"/>
        </w:rPr>
        <w:t xml:space="preserve"> the results provided in the first section</w:t>
      </w:r>
      <w:r w:rsidR="00921756">
        <w:rPr>
          <w:rFonts w:asciiTheme="minorHAnsi" w:hAnsiTheme="minorHAnsi"/>
          <w:lang w:val="en-US"/>
        </w:rPr>
        <w:t>s</w:t>
      </w:r>
      <w:r w:rsidR="00F839DA">
        <w:rPr>
          <w:rFonts w:asciiTheme="minorHAnsi" w:hAnsiTheme="minorHAnsi"/>
          <w:lang w:val="en-US"/>
        </w:rPr>
        <w:t xml:space="preserve"> of Table</w:t>
      </w:r>
      <w:r w:rsidR="003161E7" w:rsidRPr="00A620E5">
        <w:rPr>
          <w:rFonts w:asciiTheme="minorHAnsi" w:hAnsiTheme="minorHAnsi"/>
          <w:lang w:val="en-US"/>
        </w:rPr>
        <w:t xml:space="preserve"> </w:t>
      </w:r>
      <w:r w:rsidR="00376E5B">
        <w:rPr>
          <w:rFonts w:asciiTheme="minorHAnsi" w:hAnsiTheme="minorHAnsi"/>
          <w:lang w:val="en-US"/>
        </w:rPr>
        <w:t>5</w:t>
      </w:r>
      <w:r w:rsidR="003161E7" w:rsidRPr="00A620E5">
        <w:rPr>
          <w:rFonts w:asciiTheme="minorHAnsi" w:hAnsiTheme="minorHAnsi"/>
          <w:lang w:val="en-US"/>
        </w:rPr>
        <w:t xml:space="preserve">. It is clear that as </w:t>
      </w:r>
      <w:r w:rsidR="00DC7B78" w:rsidRPr="00A620E5">
        <w:rPr>
          <w:rFonts w:asciiTheme="minorHAnsi" w:hAnsiTheme="minorHAnsi"/>
          <w:lang w:val="en-US"/>
        </w:rPr>
        <w:t>the vehicle capacity increases</w:t>
      </w:r>
      <w:r w:rsidR="004D7258" w:rsidRPr="00A620E5">
        <w:rPr>
          <w:rFonts w:asciiTheme="minorHAnsi" w:hAnsiTheme="minorHAnsi"/>
          <w:lang w:val="en-US"/>
        </w:rPr>
        <w:t>,</w:t>
      </w:r>
      <w:r w:rsidR="008F68CB">
        <w:rPr>
          <w:rFonts w:asciiTheme="minorHAnsi" w:hAnsiTheme="minorHAnsi"/>
          <w:lang w:val="en-US"/>
        </w:rPr>
        <w:t xml:space="preserve"> </w:t>
      </w:r>
      <w:r w:rsidR="00D04B5E" w:rsidRPr="00A620E5">
        <w:rPr>
          <w:rFonts w:asciiTheme="minorHAnsi" w:hAnsiTheme="minorHAnsi"/>
          <w:lang w:val="en-US"/>
        </w:rPr>
        <w:t>both problem</w:t>
      </w:r>
      <w:r w:rsidR="003161E7" w:rsidRPr="00A620E5">
        <w:rPr>
          <w:rFonts w:asciiTheme="minorHAnsi" w:hAnsiTheme="minorHAnsi"/>
          <w:lang w:val="en-US"/>
        </w:rPr>
        <w:t xml:space="preserve">s </w:t>
      </w:r>
      <w:r w:rsidR="00DC7B78" w:rsidRPr="00A620E5">
        <w:rPr>
          <w:rFonts w:asciiTheme="minorHAnsi" w:hAnsiTheme="minorHAnsi"/>
          <w:lang w:val="en-US"/>
        </w:rPr>
        <w:t>are relaxed</w:t>
      </w:r>
      <w:r w:rsidR="003161E7" w:rsidRPr="00A620E5">
        <w:rPr>
          <w:rFonts w:asciiTheme="minorHAnsi" w:hAnsiTheme="minorHAnsi"/>
          <w:lang w:val="en-US"/>
        </w:rPr>
        <w:t>,</w:t>
      </w:r>
      <w:r w:rsidR="00DC7B78" w:rsidRPr="00A620E5">
        <w:rPr>
          <w:rFonts w:asciiTheme="minorHAnsi" w:hAnsiTheme="minorHAnsi"/>
          <w:lang w:val="en-US"/>
        </w:rPr>
        <w:t xml:space="preserve"> and thus </w:t>
      </w:r>
      <w:r w:rsidR="003161E7" w:rsidRPr="00A620E5">
        <w:rPr>
          <w:rFonts w:asciiTheme="minorHAnsi" w:hAnsiTheme="minorHAnsi"/>
          <w:lang w:val="en-US"/>
        </w:rPr>
        <w:t xml:space="preserve">the </w:t>
      </w:r>
      <w:r w:rsidR="00D04B5E" w:rsidRPr="00A620E5">
        <w:rPr>
          <w:rFonts w:asciiTheme="minorHAnsi" w:hAnsiTheme="minorHAnsi"/>
          <w:lang w:val="en-US"/>
        </w:rPr>
        <w:t xml:space="preserve">transportation costs </w:t>
      </w:r>
      <w:r w:rsidR="003161E7" w:rsidRPr="00A620E5">
        <w:rPr>
          <w:rFonts w:asciiTheme="minorHAnsi" w:hAnsiTheme="minorHAnsi"/>
          <w:lang w:val="en-US"/>
        </w:rPr>
        <w:t>decrease</w:t>
      </w:r>
      <w:r w:rsidR="00F22255" w:rsidRPr="00A620E5">
        <w:rPr>
          <w:rFonts w:asciiTheme="minorHAnsi" w:hAnsiTheme="minorHAnsi"/>
          <w:lang w:val="en-US"/>
        </w:rPr>
        <w:t xml:space="preserve">. This behavior is </w:t>
      </w:r>
      <w:r w:rsidR="00D04B5E" w:rsidRPr="00A620E5">
        <w:rPr>
          <w:rFonts w:asciiTheme="minorHAnsi" w:hAnsiTheme="minorHAnsi"/>
          <w:lang w:val="en-US"/>
        </w:rPr>
        <w:t>observed for all</w:t>
      </w:r>
      <w:r w:rsidR="008F68CB">
        <w:rPr>
          <w:rFonts w:asciiTheme="minorHAnsi" w:hAnsiTheme="minorHAnsi"/>
          <w:lang w:val="en-US"/>
        </w:rPr>
        <w:t xml:space="preserve"> </w:t>
      </w:r>
      <w:r w:rsidR="00F22255" w:rsidRPr="00A620E5">
        <w:rPr>
          <w:rFonts w:asciiTheme="minorHAnsi" w:hAnsiTheme="minorHAnsi"/>
          <w:lang w:val="en-US"/>
        </w:rPr>
        <w:t>geographic distribution classes</w:t>
      </w:r>
      <w:r w:rsidR="004A7F14">
        <w:rPr>
          <w:rFonts w:asciiTheme="minorHAnsi" w:hAnsiTheme="minorHAnsi"/>
          <w:lang w:val="en-US"/>
        </w:rPr>
        <w:t>,</w:t>
      </w:r>
      <w:r w:rsidR="00F22255" w:rsidRPr="00A620E5">
        <w:rPr>
          <w:rFonts w:asciiTheme="minorHAnsi" w:hAnsiTheme="minorHAnsi"/>
          <w:lang w:val="en-US"/>
        </w:rPr>
        <w:t xml:space="preserve"> as well as </w:t>
      </w:r>
      <w:bookmarkStart w:id="459" w:name="OLE_LINK440"/>
      <w:bookmarkStart w:id="460" w:name="OLE_LINK441"/>
      <w:bookmarkStart w:id="461" w:name="OLE_LINK442"/>
      <w:r w:rsidR="00D04B5E" w:rsidRPr="00A620E5">
        <w:rPr>
          <w:rFonts w:asciiTheme="minorHAnsi" w:hAnsiTheme="minorHAnsi"/>
          <w:lang w:val="en-US"/>
        </w:rPr>
        <w:t xml:space="preserve">all supplier-customer </w:t>
      </w:r>
      <w:bookmarkEnd w:id="459"/>
      <w:bookmarkEnd w:id="460"/>
      <w:bookmarkEnd w:id="461"/>
      <w:r w:rsidR="004A7F14">
        <w:rPr>
          <w:rFonts w:asciiTheme="minorHAnsi" w:hAnsiTheme="minorHAnsi"/>
          <w:lang w:val="en-US"/>
        </w:rPr>
        <w:t>proximity classes</w:t>
      </w:r>
      <w:r w:rsidR="00F22255" w:rsidRPr="00A620E5">
        <w:rPr>
          <w:rFonts w:asciiTheme="minorHAnsi" w:hAnsiTheme="minorHAnsi"/>
          <w:lang w:val="en-US"/>
        </w:rPr>
        <w:t xml:space="preserve">. </w:t>
      </w:r>
      <w:r w:rsidR="003A0B4A" w:rsidRPr="00A620E5">
        <w:rPr>
          <w:rFonts w:asciiTheme="minorHAnsi" w:hAnsiTheme="minorHAnsi"/>
          <w:lang w:val="en-US"/>
        </w:rPr>
        <w:t>However, it is also apparent that the increase of the vehicle capacity ha</w:t>
      </w:r>
      <w:r w:rsidR="00A963F9">
        <w:rPr>
          <w:rFonts w:asciiTheme="minorHAnsi" w:hAnsiTheme="minorHAnsi"/>
          <w:lang w:val="en-US"/>
        </w:rPr>
        <w:t>s a stronger positive effect on</w:t>
      </w:r>
      <w:r w:rsidR="003A0B4A" w:rsidRPr="00A620E5">
        <w:rPr>
          <w:rFonts w:asciiTheme="minorHAnsi" w:hAnsiTheme="minorHAnsi"/>
          <w:lang w:val="en-US"/>
        </w:rPr>
        <w:t xml:space="preserve"> the cross-docking strategy</w:t>
      </w:r>
      <w:r w:rsidR="00631AF5">
        <w:rPr>
          <w:rFonts w:asciiTheme="minorHAnsi" w:hAnsiTheme="minorHAnsi"/>
          <w:lang w:val="en-US"/>
        </w:rPr>
        <w:t xml:space="preserve">. This is attributed to the fact that </w:t>
      </w:r>
      <w:r w:rsidR="0045449B">
        <w:rPr>
          <w:rFonts w:asciiTheme="minorHAnsi" w:hAnsiTheme="minorHAnsi"/>
          <w:lang w:val="en-US"/>
        </w:rPr>
        <w:t>vehicles are allowed to serve more suppliers/customers in the same r</w:t>
      </w:r>
      <w:r w:rsidR="00631AF5">
        <w:rPr>
          <w:rFonts w:asciiTheme="minorHAnsi" w:hAnsiTheme="minorHAnsi"/>
          <w:lang w:val="en-US"/>
        </w:rPr>
        <w:t xml:space="preserve">oute before returning to the </w:t>
      </w:r>
      <w:r w:rsidR="00216E05" w:rsidRPr="00A963F9">
        <w:rPr>
          <w:rFonts w:asciiTheme="minorHAnsi" w:hAnsiTheme="minorHAnsi"/>
          <w:lang w:val="en-US"/>
        </w:rPr>
        <w:t>cross-dock</w:t>
      </w:r>
      <w:r w:rsidR="00631AF5">
        <w:rPr>
          <w:rFonts w:asciiTheme="minorHAnsi" w:hAnsiTheme="minorHAnsi"/>
          <w:lang w:val="en-US"/>
        </w:rPr>
        <w:t>. From a dif</w:t>
      </w:r>
      <w:r w:rsidR="00910D50">
        <w:rPr>
          <w:rFonts w:asciiTheme="minorHAnsi" w:hAnsiTheme="minorHAnsi"/>
          <w:lang w:val="en-US"/>
        </w:rPr>
        <w:t>ferent</w:t>
      </w:r>
      <w:r w:rsidR="00631AF5">
        <w:rPr>
          <w:rFonts w:asciiTheme="minorHAnsi" w:hAnsiTheme="minorHAnsi"/>
          <w:lang w:val="en-US"/>
        </w:rPr>
        <w:t xml:space="preserve"> perspective</w:t>
      </w:r>
      <w:r w:rsidR="00910D50">
        <w:rPr>
          <w:rFonts w:asciiTheme="minorHAnsi" w:hAnsiTheme="minorHAnsi"/>
          <w:lang w:val="en-US"/>
        </w:rPr>
        <w:t>,</w:t>
      </w:r>
      <w:r w:rsidR="00631AF5">
        <w:rPr>
          <w:rFonts w:asciiTheme="minorHAnsi" w:hAnsiTheme="minorHAnsi"/>
          <w:lang w:val="en-US"/>
        </w:rPr>
        <w:t xml:space="preserve"> the PDP is not so sensit</w:t>
      </w:r>
      <w:r w:rsidR="00A963F9">
        <w:rPr>
          <w:rFonts w:asciiTheme="minorHAnsi" w:hAnsiTheme="minorHAnsi"/>
          <w:lang w:val="en-US"/>
        </w:rPr>
        <w:t>ive to the capacity constraints;</w:t>
      </w:r>
      <w:r w:rsidR="00631AF5">
        <w:rPr>
          <w:rFonts w:asciiTheme="minorHAnsi" w:hAnsiTheme="minorHAnsi"/>
          <w:lang w:val="en-US"/>
        </w:rPr>
        <w:t xml:space="preserve"> vehicles are unloaded through the routes, thus even if their capacity is limited</w:t>
      </w:r>
      <w:r w:rsidR="00910D50">
        <w:rPr>
          <w:rFonts w:asciiTheme="minorHAnsi" w:hAnsiTheme="minorHAnsi"/>
          <w:lang w:val="en-US"/>
        </w:rPr>
        <w:t>,</w:t>
      </w:r>
      <w:r w:rsidR="00631AF5">
        <w:rPr>
          <w:rFonts w:asciiTheme="minorHAnsi" w:hAnsiTheme="minorHAnsi"/>
          <w:lang w:val="en-US"/>
        </w:rPr>
        <w:t xml:space="preserve"> they are no</w:t>
      </w:r>
      <w:r w:rsidR="00910D50">
        <w:rPr>
          <w:rFonts w:asciiTheme="minorHAnsi" w:hAnsiTheme="minorHAnsi"/>
          <w:lang w:val="en-US"/>
        </w:rPr>
        <w:t>t</w:t>
      </w:r>
      <w:r w:rsidR="00631AF5">
        <w:rPr>
          <w:rFonts w:asciiTheme="minorHAnsi" w:hAnsiTheme="minorHAnsi"/>
          <w:lang w:val="en-US"/>
        </w:rPr>
        <w:t xml:space="preserve"> forced to return to the depot. To empirically support this claim, we compare the decrease of the </w:t>
      </w:r>
      <w:r w:rsidR="00A963F9">
        <w:rPr>
          <w:rFonts w:asciiTheme="minorHAnsi" w:hAnsiTheme="minorHAnsi"/>
          <w:lang w:val="en-US"/>
        </w:rPr>
        <w:t>aggregate</w:t>
      </w:r>
      <w:r w:rsidR="00B94EFE">
        <w:rPr>
          <w:rFonts w:asciiTheme="minorHAnsi" w:hAnsiTheme="minorHAnsi"/>
          <w:lang w:val="en-US"/>
        </w:rPr>
        <w:t xml:space="preserve"> </w:t>
      </w:r>
      <w:r w:rsidR="00631AF5">
        <w:rPr>
          <w:rFonts w:asciiTheme="minorHAnsi" w:hAnsiTheme="minorHAnsi"/>
          <w:lang w:val="en-US"/>
        </w:rPr>
        <w:t>routing costs for</w:t>
      </w:r>
      <w:r w:rsidR="008D3715">
        <w:rPr>
          <w:rFonts w:asciiTheme="minorHAnsi" w:hAnsiTheme="minorHAnsi"/>
          <w:lang w:val="en-US"/>
        </w:rPr>
        <w:t xml:space="preserve"> both</w:t>
      </w:r>
      <w:r w:rsidR="00631AF5">
        <w:rPr>
          <w:rFonts w:asciiTheme="minorHAnsi" w:hAnsiTheme="minorHAnsi"/>
          <w:lang w:val="en-US"/>
        </w:rPr>
        <w:t xml:space="preserve"> </w:t>
      </w:r>
      <w:r w:rsidR="00A963F9">
        <w:rPr>
          <w:rFonts w:asciiTheme="minorHAnsi" w:hAnsiTheme="minorHAnsi"/>
          <w:lang w:val="en-US"/>
        </w:rPr>
        <w:t>strategies</w:t>
      </w:r>
      <w:r w:rsidR="008D3715">
        <w:rPr>
          <w:rFonts w:asciiTheme="minorHAnsi" w:hAnsiTheme="minorHAnsi"/>
          <w:lang w:val="en-US"/>
        </w:rPr>
        <w:t xml:space="preserve"> when moving from the </w:t>
      </w:r>
      <w:r w:rsidR="008D3715" w:rsidRPr="008D3715">
        <w:rPr>
          <w:rFonts w:asciiTheme="minorHAnsi" w:hAnsiTheme="minorHAnsi"/>
          <w:i/>
          <w:lang w:val="en-US"/>
        </w:rPr>
        <w:t>Q1</w:t>
      </w:r>
      <w:r w:rsidR="008D3715">
        <w:rPr>
          <w:rFonts w:asciiTheme="minorHAnsi" w:hAnsiTheme="minorHAnsi"/>
          <w:lang w:val="en-US"/>
        </w:rPr>
        <w:t xml:space="preserve"> to the </w:t>
      </w:r>
      <w:r w:rsidR="008D3715" w:rsidRPr="008D3715">
        <w:rPr>
          <w:rFonts w:asciiTheme="minorHAnsi" w:hAnsiTheme="minorHAnsi"/>
          <w:i/>
          <w:lang w:val="en-US"/>
        </w:rPr>
        <w:t>Q3</w:t>
      </w:r>
      <w:r w:rsidR="008D3715">
        <w:rPr>
          <w:rFonts w:asciiTheme="minorHAnsi" w:hAnsiTheme="minorHAnsi"/>
          <w:lang w:val="en-US"/>
        </w:rPr>
        <w:t xml:space="preserve"> capacity</w:t>
      </w:r>
      <w:r w:rsidR="00631AF5">
        <w:rPr>
          <w:rFonts w:asciiTheme="minorHAnsi" w:hAnsiTheme="minorHAnsi"/>
          <w:lang w:val="en-US"/>
        </w:rPr>
        <w:t xml:space="preserve"> </w:t>
      </w:r>
      <w:r w:rsidR="008D3715">
        <w:rPr>
          <w:rFonts w:asciiTheme="minorHAnsi" w:hAnsiTheme="minorHAnsi"/>
          <w:lang w:val="en-US"/>
        </w:rPr>
        <w:t xml:space="preserve">level for the </w:t>
      </w:r>
      <w:r w:rsidR="008D3715" w:rsidRPr="008D3715">
        <w:rPr>
          <w:rFonts w:asciiTheme="minorHAnsi" w:hAnsiTheme="minorHAnsi"/>
          <w:i/>
          <w:lang w:val="en-US"/>
        </w:rPr>
        <w:t>D1</w:t>
      </w:r>
      <w:r w:rsidR="008D3715">
        <w:rPr>
          <w:rFonts w:asciiTheme="minorHAnsi" w:hAnsiTheme="minorHAnsi"/>
          <w:lang w:val="en-US"/>
        </w:rPr>
        <w:t xml:space="preserve"> and </w:t>
      </w:r>
      <w:r w:rsidR="008D3715" w:rsidRPr="008D3715">
        <w:rPr>
          <w:rFonts w:asciiTheme="minorHAnsi" w:hAnsiTheme="minorHAnsi"/>
          <w:i/>
          <w:lang w:val="en-US"/>
        </w:rPr>
        <w:t>D3</w:t>
      </w:r>
      <w:r w:rsidR="008D3715">
        <w:rPr>
          <w:rFonts w:asciiTheme="minorHAnsi" w:hAnsiTheme="minorHAnsi"/>
          <w:lang w:val="en-US"/>
        </w:rPr>
        <w:t xml:space="preserve"> classes of depot locations</w:t>
      </w:r>
      <w:r w:rsidR="001F2185">
        <w:rPr>
          <w:rFonts w:asciiTheme="minorHAnsi" w:hAnsiTheme="minorHAnsi"/>
          <w:lang w:val="en-US"/>
        </w:rPr>
        <w:t>, respectively</w:t>
      </w:r>
      <w:r w:rsidR="008D3715">
        <w:rPr>
          <w:rFonts w:asciiTheme="minorHAnsi" w:hAnsiTheme="minorHAnsi"/>
          <w:lang w:val="en-US"/>
        </w:rPr>
        <w:t xml:space="preserve">. For the VRPCD, moving from </w:t>
      </w:r>
      <w:r w:rsidR="008D3715" w:rsidRPr="008D3715">
        <w:rPr>
          <w:rFonts w:asciiTheme="minorHAnsi" w:hAnsiTheme="minorHAnsi"/>
          <w:i/>
          <w:lang w:val="en-US"/>
        </w:rPr>
        <w:t>Q1</w:t>
      </w:r>
      <w:r w:rsidR="008D3715">
        <w:rPr>
          <w:rFonts w:asciiTheme="minorHAnsi" w:hAnsiTheme="minorHAnsi"/>
          <w:lang w:val="en-US"/>
        </w:rPr>
        <w:t xml:space="preserve"> to </w:t>
      </w:r>
      <w:r w:rsidR="008D3715" w:rsidRPr="008D3715">
        <w:rPr>
          <w:rFonts w:asciiTheme="minorHAnsi" w:hAnsiTheme="minorHAnsi"/>
          <w:i/>
          <w:lang w:val="en-US"/>
        </w:rPr>
        <w:t>Q3</w:t>
      </w:r>
      <w:r w:rsidR="008D3715">
        <w:rPr>
          <w:rFonts w:asciiTheme="minorHAnsi" w:hAnsiTheme="minorHAnsi"/>
          <w:lang w:val="en-US"/>
        </w:rPr>
        <w:t xml:space="preserve"> yields a </w:t>
      </w:r>
      <w:r w:rsidR="00113D1D">
        <w:rPr>
          <w:rFonts w:asciiTheme="minorHAnsi" w:hAnsiTheme="minorHAnsi"/>
          <w:lang w:val="en-US"/>
        </w:rPr>
        <w:t>26</w:t>
      </w:r>
      <w:r w:rsidR="002A0B7A">
        <w:rPr>
          <w:rFonts w:asciiTheme="minorHAnsi" w:hAnsiTheme="minorHAnsi"/>
          <w:lang w:val="en-US"/>
        </w:rPr>
        <w:t>.</w:t>
      </w:r>
      <w:r w:rsidR="00113D1D">
        <w:rPr>
          <w:rFonts w:asciiTheme="minorHAnsi" w:hAnsiTheme="minorHAnsi"/>
          <w:lang w:val="en-US"/>
        </w:rPr>
        <w:t>35</w:t>
      </w:r>
      <w:r w:rsidR="002A0B7A">
        <w:rPr>
          <w:rFonts w:asciiTheme="minorHAnsi" w:hAnsiTheme="minorHAnsi"/>
          <w:lang w:val="en-US"/>
        </w:rPr>
        <w:t>%</w:t>
      </w:r>
      <w:r w:rsidR="008D3715">
        <w:rPr>
          <w:rFonts w:asciiTheme="minorHAnsi" w:hAnsiTheme="minorHAnsi"/>
          <w:lang w:val="en-US"/>
        </w:rPr>
        <w:t xml:space="preserve"> </w:t>
      </w:r>
      <w:r w:rsidR="00C94DDA">
        <w:rPr>
          <w:rFonts w:asciiTheme="minorHAnsi" w:hAnsiTheme="minorHAnsi"/>
          <w:lang w:val="en-US"/>
        </w:rPr>
        <w:t>(</w:t>
      </w:r>
      <w:r w:rsidR="007A47C2">
        <w:rPr>
          <w:rFonts w:asciiTheme="minorHAnsi" w:hAnsiTheme="minorHAnsi"/>
          <w:lang w:val="en-US"/>
        </w:rPr>
        <w:t xml:space="preserve">from </w:t>
      </w:r>
      <w:r w:rsidR="00C94DDA" w:rsidRPr="00C94DDA">
        <w:rPr>
          <w:rFonts w:asciiTheme="minorHAnsi" w:hAnsiTheme="minorHAnsi"/>
          <w:lang w:val="en-US"/>
        </w:rPr>
        <w:t>1014.</w:t>
      </w:r>
      <w:r w:rsidR="00C94DDA">
        <w:rPr>
          <w:rFonts w:asciiTheme="minorHAnsi" w:hAnsiTheme="minorHAnsi"/>
          <w:lang w:val="en-US"/>
        </w:rPr>
        <w:t xml:space="preserve">10 to 746.93) </w:t>
      </w:r>
      <w:r w:rsidR="008D3715">
        <w:rPr>
          <w:rFonts w:asciiTheme="minorHAnsi" w:hAnsiTheme="minorHAnsi"/>
          <w:lang w:val="en-US"/>
        </w:rPr>
        <w:t xml:space="preserve">and </w:t>
      </w:r>
      <w:r w:rsidR="00113D1D">
        <w:rPr>
          <w:rFonts w:asciiTheme="minorHAnsi" w:hAnsiTheme="minorHAnsi"/>
          <w:lang w:val="en-US"/>
        </w:rPr>
        <w:t>23.37</w:t>
      </w:r>
      <w:r w:rsidR="002A0B7A">
        <w:rPr>
          <w:rFonts w:asciiTheme="minorHAnsi" w:hAnsiTheme="minorHAnsi"/>
          <w:lang w:val="en-US"/>
        </w:rPr>
        <w:t>%</w:t>
      </w:r>
      <w:r w:rsidR="00E7105B">
        <w:rPr>
          <w:rFonts w:asciiTheme="minorHAnsi" w:hAnsiTheme="minorHAnsi"/>
          <w:lang w:val="en-US"/>
        </w:rPr>
        <w:t xml:space="preserve"> (</w:t>
      </w:r>
      <w:r w:rsidR="007A47C2">
        <w:rPr>
          <w:rFonts w:asciiTheme="minorHAnsi" w:hAnsiTheme="minorHAnsi"/>
          <w:lang w:val="en-US"/>
        </w:rPr>
        <w:t xml:space="preserve">from </w:t>
      </w:r>
      <w:r w:rsidR="00E7105B" w:rsidRPr="00E7105B">
        <w:rPr>
          <w:rFonts w:asciiTheme="minorHAnsi" w:hAnsiTheme="minorHAnsi"/>
          <w:lang w:val="en-US"/>
        </w:rPr>
        <w:t>1159.7</w:t>
      </w:r>
      <w:r w:rsidR="00E7105B">
        <w:rPr>
          <w:rFonts w:asciiTheme="minorHAnsi" w:hAnsiTheme="minorHAnsi"/>
          <w:lang w:val="en-US"/>
        </w:rPr>
        <w:t xml:space="preserve">9 to </w:t>
      </w:r>
      <w:r w:rsidR="00E7105B" w:rsidRPr="00E7105B">
        <w:rPr>
          <w:rFonts w:asciiTheme="minorHAnsi" w:hAnsiTheme="minorHAnsi"/>
          <w:lang w:val="en-US"/>
        </w:rPr>
        <w:t>888.78</w:t>
      </w:r>
      <w:r w:rsidR="00E7105B">
        <w:rPr>
          <w:rFonts w:asciiTheme="minorHAnsi" w:hAnsiTheme="minorHAnsi"/>
          <w:lang w:val="en-US"/>
        </w:rPr>
        <w:t>)</w:t>
      </w:r>
      <w:r w:rsidR="008D3715">
        <w:rPr>
          <w:rFonts w:asciiTheme="minorHAnsi" w:hAnsiTheme="minorHAnsi"/>
          <w:lang w:val="en-US"/>
        </w:rPr>
        <w:t xml:space="preserve"> </w:t>
      </w:r>
      <w:r w:rsidR="00A963F9">
        <w:rPr>
          <w:rFonts w:asciiTheme="minorHAnsi" w:hAnsiTheme="minorHAnsi"/>
          <w:lang w:val="en-US"/>
        </w:rPr>
        <w:t>i</w:t>
      </w:r>
      <w:r w:rsidR="008D3715">
        <w:rPr>
          <w:rFonts w:asciiTheme="minorHAnsi" w:hAnsiTheme="minorHAnsi"/>
          <w:lang w:val="en-US"/>
        </w:rPr>
        <w:t>mprovement</w:t>
      </w:r>
      <w:r w:rsidR="00A963F9">
        <w:rPr>
          <w:rFonts w:asciiTheme="minorHAnsi" w:hAnsiTheme="minorHAnsi"/>
          <w:lang w:val="en-US"/>
        </w:rPr>
        <w:t xml:space="preserve"> in the objective function values</w:t>
      </w:r>
      <w:r w:rsidR="008D3715">
        <w:rPr>
          <w:rFonts w:asciiTheme="minorHAnsi" w:hAnsiTheme="minorHAnsi"/>
          <w:lang w:val="en-US"/>
        </w:rPr>
        <w:t xml:space="preserve"> for </w:t>
      </w:r>
      <w:r w:rsidR="008D3715" w:rsidRPr="007A47C2">
        <w:rPr>
          <w:rFonts w:asciiTheme="minorHAnsi" w:hAnsiTheme="minorHAnsi"/>
          <w:i/>
          <w:lang w:val="en-US"/>
        </w:rPr>
        <w:t>D1</w:t>
      </w:r>
      <w:r w:rsidR="008D3715">
        <w:rPr>
          <w:rFonts w:asciiTheme="minorHAnsi" w:hAnsiTheme="minorHAnsi"/>
          <w:lang w:val="en-US"/>
        </w:rPr>
        <w:t xml:space="preserve"> and </w:t>
      </w:r>
      <w:r w:rsidR="008D3715" w:rsidRPr="007A47C2">
        <w:rPr>
          <w:rFonts w:asciiTheme="minorHAnsi" w:hAnsiTheme="minorHAnsi"/>
          <w:i/>
          <w:lang w:val="en-US"/>
        </w:rPr>
        <w:t>D3</w:t>
      </w:r>
      <w:r w:rsidR="008D3715">
        <w:rPr>
          <w:rFonts w:asciiTheme="minorHAnsi" w:hAnsiTheme="minorHAnsi"/>
          <w:lang w:val="en-US"/>
        </w:rPr>
        <w:t xml:space="preserve">, respectively. The corresponding improvement percentages for the PDP are </w:t>
      </w:r>
      <w:r w:rsidR="00113D1D">
        <w:rPr>
          <w:rFonts w:asciiTheme="minorHAnsi" w:hAnsiTheme="minorHAnsi"/>
          <w:lang w:val="en-US"/>
        </w:rPr>
        <w:t>18.51</w:t>
      </w:r>
      <w:r w:rsidR="00A43CB5">
        <w:rPr>
          <w:rFonts w:asciiTheme="minorHAnsi" w:hAnsiTheme="minorHAnsi"/>
          <w:lang w:val="en-US"/>
        </w:rPr>
        <w:t>%</w:t>
      </w:r>
      <w:r w:rsidR="008D3715">
        <w:rPr>
          <w:rFonts w:asciiTheme="minorHAnsi" w:hAnsiTheme="minorHAnsi"/>
          <w:lang w:val="en-US"/>
        </w:rPr>
        <w:t xml:space="preserve"> </w:t>
      </w:r>
      <w:r w:rsidR="00C94DDA">
        <w:rPr>
          <w:rFonts w:asciiTheme="minorHAnsi" w:hAnsiTheme="minorHAnsi"/>
          <w:lang w:val="en-US"/>
        </w:rPr>
        <w:t xml:space="preserve">(from </w:t>
      </w:r>
      <w:r w:rsidR="00C94DDA" w:rsidRPr="00C94DDA">
        <w:rPr>
          <w:rFonts w:asciiTheme="minorHAnsi" w:hAnsiTheme="minorHAnsi"/>
          <w:lang w:val="en-US"/>
        </w:rPr>
        <w:t>753.53</w:t>
      </w:r>
      <w:r w:rsidR="00C94DDA">
        <w:rPr>
          <w:rFonts w:asciiTheme="minorHAnsi" w:hAnsiTheme="minorHAnsi"/>
          <w:lang w:val="en-US"/>
        </w:rPr>
        <w:t xml:space="preserve"> to </w:t>
      </w:r>
      <w:r w:rsidR="00C94DDA" w:rsidRPr="00C94DDA">
        <w:rPr>
          <w:rFonts w:asciiTheme="minorHAnsi" w:hAnsiTheme="minorHAnsi"/>
          <w:lang w:val="en-US"/>
        </w:rPr>
        <w:t>614.0</w:t>
      </w:r>
      <w:r w:rsidR="00C94DDA">
        <w:rPr>
          <w:rFonts w:asciiTheme="minorHAnsi" w:hAnsiTheme="minorHAnsi"/>
          <w:lang w:val="en-US"/>
        </w:rPr>
        <w:t xml:space="preserve">1) </w:t>
      </w:r>
      <w:r w:rsidR="008D3715">
        <w:rPr>
          <w:rFonts w:asciiTheme="minorHAnsi" w:hAnsiTheme="minorHAnsi"/>
          <w:lang w:val="en-US"/>
        </w:rPr>
        <w:t xml:space="preserve">and </w:t>
      </w:r>
      <w:r w:rsidR="00113D1D">
        <w:rPr>
          <w:rFonts w:asciiTheme="minorHAnsi" w:hAnsiTheme="minorHAnsi"/>
          <w:lang w:val="en-US"/>
        </w:rPr>
        <w:t>18.41</w:t>
      </w:r>
      <w:r w:rsidR="00A43CB5">
        <w:rPr>
          <w:rFonts w:asciiTheme="minorHAnsi" w:hAnsiTheme="minorHAnsi"/>
          <w:lang w:val="en-US"/>
        </w:rPr>
        <w:t>%</w:t>
      </w:r>
      <w:r w:rsidR="00C94DDA">
        <w:rPr>
          <w:rFonts w:asciiTheme="minorHAnsi" w:hAnsiTheme="minorHAnsi"/>
          <w:lang w:val="en-US"/>
        </w:rPr>
        <w:t xml:space="preserve"> (from </w:t>
      </w:r>
      <w:r w:rsidR="00C94DDA" w:rsidRPr="00C94DDA">
        <w:rPr>
          <w:rFonts w:asciiTheme="minorHAnsi" w:hAnsiTheme="minorHAnsi"/>
          <w:lang w:val="en-US"/>
        </w:rPr>
        <w:t>770.24</w:t>
      </w:r>
      <w:r w:rsidR="00C94DDA">
        <w:rPr>
          <w:rFonts w:asciiTheme="minorHAnsi" w:hAnsiTheme="minorHAnsi"/>
          <w:lang w:val="en-US"/>
        </w:rPr>
        <w:t xml:space="preserve"> to </w:t>
      </w:r>
      <w:r w:rsidR="00C94DDA" w:rsidRPr="00C94DDA">
        <w:rPr>
          <w:rFonts w:asciiTheme="minorHAnsi" w:hAnsiTheme="minorHAnsi"/>
          <w:lang w:val="en-US"/>
        </w:rPr>
        <w:t>628.4</w:t>
      </w:r>
      <w:r w:rsidR="00C94DDA">
        <w:rPr>
          <w:rFonts w:asciiTheme="minorHAnsi" w:hAnsiTheme="minorHAnsi"/>
          <w:lang w:val="en-US"/>
        </w:rPr>
        <w:t>2)</w:t>
      </w:r>
      <w:r w:rsidR="008D3715">
        <w:rPr>
          <w:rFonts w:asciiTheme="minorHAnsi" w:hAnsiTheme="minorHAnsi"/>
          <w:lang w:val="en-US"/>
        </w:rPr>
        <w:t>. These findings are</w:t>
      </w:r>
      <w:r w:rsidR="00B31414">
        <w:rPr>
          <w:rFonts w:asciiTheme="minorHAnsi" w:hAnsiTheme="minorHAnsi"/>
          <w:lang w:val="en-US"/>
        </w:rPr>
        <w:t xml:space="preserve"> in line with what was expected;</w:t>
      </w:r>
      <w:r w:rsidR="008D3715">
        <w:rPr>
          <w:rFonts w:asciiTheme="minorHAnsi" w:hAnsiTheme="minorHAnsi"/>
          <w:lang w:val="en-US"/>
        </w:rPr>
        <w:t xml:space="preserve"> heavy duty </w:t>
      </w:r>
      <w:r w:rsidR="00B31414">
        <w:rPr>
          <w:rFonts w:asciiTheme="minorHAnsi" w:hAnsiTheme="minorHAnsi"/>
          <w:lang w:val="en-US"/>
        </w:rPr>
        <w:t xml:space="preserve">large capacity </w:t>
      </w:r>
      <w:r w:rsidR="008D3715">
        <w:rPr>
          <w:rFonts w:asciiTheme="minorHAnsi" w:hAnsiTheme="minorHAnsi"/>
          <w:lang w:val="en-US"/>
        </w:rPr>
        <w:t xml:space="preserve">vehicles </w:t>
      </w:r>
      <w:r w:rsidR="00B31414">
        <w:rPr>
          <w:rFonts w:asciiTheme="minorHAnsi" w:hAnsiTheme="minorHAnsi"/>
          <w:lang w:val="en-US"/>
        </w:rPr>
        <w:t xml:space="preserve">(i.e., </w:t>
      </w:r>
      <w:r w:rsidR="00B31414" w:rsidRPr="00B31414">
        <w:rPr>
          <w:rFonts w:asciiTheme="minorHAnsi" w:hAnsiTheme="minorHAnsi"/>
          <w:i/>
          <w:lang w:val="en-US"/>
        </w:rPr>
        <w:t>Q3</w:t>
      </w:r>
      <w:r w:rsidR="00B31414">
        <w:rPr>
          <w:rFonts w:asciiTheme="minorHAnsi" w:hAnsiTheme="minorHAnsi"/>
          <w:lang w:val="en-US"/>
        </w:rPr>
        <w:t xml:space="preserve"> level) </w:t>
      </w:r>
      <w:r w:rsidR="008D3715">
        <w:rPr>
          <w:rFonts w:asciiTheme="minorHAnsi" w:hAnsiTheme="minorHAnsi"/>
          <w:lang w:val="en-US"/>
        </w:rPr>
        <w:t xml:space="preserve">tend to promote the consolidation strategy, especially when the depot is </w:t>
      </w:r>
      <w:r w:rsidR="00B31414">
        <w:rPr>
          <w:rFonts w:asciiTheme="minorHAnsi" w:hAnsiTheme="minorHAnsi"/>
          <w:lang w:val="en-US"/>
        </w:rPr>
        <w:t xml:space="preserve">centrally located (i.e., </w:t>
      </w:r>
      <w:r w:rsidR="00B31414" w:rsidRPr="00B31414">
        <w:rPr>
          <w:rFonts w:asciiTheme="minorHAnsi" w:hAnsiTheme="minorHAnsi"/>
          <w:i/>
          <w:lang w:val="en-US"/>
        </w:rPr>
        <w:t>D1</w:t>
      </w:r>
      <w:r w:rsidR="00B31414">
        <w:rPr>
          <w:rFonts w:asciiTheme="minorHAnsi" w:hAnsiTheme="minorHAnsi"/>
          <w:lang w:val="en-US"/>
        </w:rPr>
        <w:t xml:space="preserve"> level)</w:t>
      </w:r>
      <w:r w:rsidR="008D3715">
        <w:rPr>
          <w:rFonts w:asciiTheme="minorHAnsi" w:hAnsiTheme="minorHAnsi"/>
          <w:lang w:val="en-US"/>
        </w:rPr>
        <w:t>.</w:t>
      </w:r>
      <w:r w:rsidR="00910D50">
        <w:rPr>
          <w:rFonts w:asciiTheme="minorHAnsi" w:hAnsiTheme="minorHAnsi"/>
          <w:lang w:val="en-US"/>
        </w:rPr>
        <w:t xml:space="preserve"> </w:t>
      </w:r>
    </w:p>
    <w:p w:rsidR="00426B3B" w:rsidRPr="001A0809" w:rsidRDefault="00F00EA5" w:rsidP="00461F82">
      <w:pPr>
        <w:pStyle w:val="RoadefTexte"/>
        <w:tabs>
          <w:tab w:val="left" w:pos="0"/>
        </w:tabs>
        <w:spacing w:line="276" w:lineRule="auto"/>
        <w:ind w:firstLine="0"/>
        <w:rPr>
          <w:rFonts w:asciiTheme="minorHAnsi" w:hAnsiTheme="minorHAnsi"/>
          <w:lang w:val="en-US"/>
        </w:rPr>
      </w:pPr>
      <w:bookmarkStart w:id="462" w:name="OLE_LINK101"/>
      <w:bookmarkStart w:id="463" w:name="OLE_LINK815"/>
      <w:bookmarkStart w:id="464" w:name="OLE_LINK816"/>
      <w:bookmarkStart w:id="465" w:name="OLE_LINK873"/>
      <w:bookmarkStart w:id="466" w:name="OLE_LINK874"/>
      <w:bookmarkStart w:id="467" w:name="OLE_LINK875"/>
      <w:bookmarkStart w:id="468" w:name="OLE_LINK876"/>
      <w:bookmarkEnd w:id="452"/>
      <w:bookmarkEnd w:id="453"/>
      <w:bookmarkEnd w:id="454"/>
      <w:bookmarkEnd w:id="455"/>
      <w:r>
        <w:rPr>
          <w:rFonts w:asciiTheme="minorHAnsi" w:hAnsiTheme="minorHAnsi"/>
          <w:lang w:val="en-US"/>
        </w:rPr>
        <w:tab/>
      </w:r>
      <w:r w:rsidR="00B31414">
        <w:rPr>
          <w:rFonts w:asciiTheme="minorHAnsi" w:hAnsiTheme="minorHAnsi"/>
          <w:lang w:val="en-US"/>
        </w:rPr>
        <w:t xml:space="preserve">Another observation </w:t>
      </w:r>
      <w:r w:rsidR="00765D33">
        <w:rPr>
          <w:rFonts w:asciiTheme="minorHAnsi" w:hAnsiTheme="minorHAnsi"/>
          <w:lang w:val="en-US"/>
        </w:rPr>
        <w:t xml:space="preserve">from Figure 3 </w:t>
      </w:r>
      <w:r w:rsidR="00B31414">
        <w:rPr>
          <w:rFonts w:asciiTheme="minorHAnsi" w:hAnsiTheme="minorHAnsi"/>
          <w:lang w:val="en-US"/>
        </w:rPr>
        <w:t xml:space="preserve">is </w:t>
      </w:r>
      <w:r w:rsidR="00765D33">
        <w:rPr>
          <w:rFonts w:asciiTheme="minorHAnsi" w:hAnsiTheme="minorHAnsi"/>
          <w:lang w:val="en-US"/>
        </w:rPr>
        <w:t>that the increase of the vehicle capacity has a stronger positive effect for the cross-docking strategy</w:t>
      </w:r>
      <w:r w:rsidR="00CF2AA5">
        <w:rPr>
          <w:rFonts w:asciiTheme="minorHAnsi" w:hAnsiTheme="minorHAnsi"/>
          <w:lang w:val="en-US"/>
        </w:rPr>
        <w:t xml:space="preserve"> for the </w:t>
      </w:r>
      <w:r w:rsidR="007025BA">
        <w:rPr>
          <w:rFonts w:asciiTheme="minorHAnsi" w:hAnsiTheme="minorHAnsi"/>
          <w:lang w:val="en-US"/>
        </w:rPr>
        <w:t xml:space="preserve">RC, </w:t>
      </w:r>
      <w:r w:rsidR="00CF2AA5" w:rsidRPr="00CF2AA5">
        <w:rPr>
          <w:rFonts w:asciiTheme="minorHAnsi" w:hAnsiTheme="minorHAnsi"/>
          <w:i/>
          <w:lang w:val="en-US"/>
        </w:rPr>
        <w:t>C</w:t>
      </w:r>
      <w:r w:rsidR="00CF2AA5">
        <w:rPr>
          <w:rFonts w:asciiTheme="minorHAnsi" w:hAnsiTheme="minorHAnsi"/>
          <w:lang w:val="en-US"/>
        </w:rPr>
        <w:t xml:space="preserve"> and </w:t>
      </w:r>
      <w:r w:rsidR="00CF2AA5" w:rsidRPr="00CF2AA5">
        <w:rPr>
          <w:rFonts w:asciiTheme="minorHAnsi" w:hAnsiTheme="minorHAnsi"/>
          <w:i/>
          <w:lang w:val="en-US"/>
        </w:rPr>
        <w:t>DS</w:t>
      </w:r>
      <w:r w:rsidR="00CF2AA5">
        <w:rPr>
          <w:rFonts w:asciiTheme="minorHAnsi" w:hAnsiTheme="minorHAnsi"/>
          <w:lang w:val="en-US"/>
        </w:rPr>
        <w:t xml:space="preserve"> classes</w:t>
      </w:r>
      <w:r w:rsidR="00765D33">
        <w:rPr>
          <w:rFonts w:asciiTheme="minorHAnsi" w:hAnsiTheme="minorHAnsi"/>
          <w:lang w:val="en-US"/>
        </w:rPr>
        <w:t xml:space="preserve">. In fact, </w:t>
      </w:r>
      <w:r w:rsidR="003A3E24">
        <w:rPr>
          <w:rFonts w:asciiTheme="minorHAnsi" w:hAnsiTheme="minorHAnsi"/>
          <w:lang w:val="en-US"/>
        </w:rPr>
        <w:t xml:space="preserve">for the direct shipping strategy, </w:t>
      </w:r>
      <w:r w:rsidR="00765D33">
        <w:rPr>
          <w:rFonts w:asciiTheme="minorHAnsi" w:hAnsiTheme="minorHAnsi"/>
          <w:lang w:val="en-US"/>
        </w:rPr>
        <w:t xml:space="preserve">moving from </w:t>
      </w:r>
      <w:r w:rsidR="00765D33" w:rsidRPr="00EE0DF4">
        <w:rPr>
          <w:rFonts w:asciiTheme="minorHAnsi" w:hAnsiTheme="minorHAnsi"/>
          <w:i/>
          <w:lang w:val="en-US"/>
        </w:rPr>
        <w:t>Q1</w:t>
      </w:r>
      <w:r w:rsidR="00765D33">
        <w:rPr>
          <w:rFonts w:asciiTheme="minorHAnsi" w:hAnsiTheme="minorHAnsi"/>
          <w:lang w:val="en-US"/>
        </w:rPr>
        <w:t xml:space="preserve"> to </w:t>
      </w:r>
      <w:r w:rsidR="00765D33" w:rsidRPr="00EE0DF4">
        <w:rPr>
          <w:rFonts w:asciiTheme="minorHAnsi" w:hAnsiTheme="minorHAnsi"/>
          <w:i/>
          <w:lang w:val="en-US"/>
        </w:rPr>
        <w:t>Q3</w:t>
      </w:r>
      <w:r w:rsidR="00765D33">
        <w:rPr>
          <w:rFonts w:asciiTheme="minorHAnsi" w:hAnsiTheme="minorHAnsi"/>
          <w:lang w:val="en-US"/>
        </w:rPr>
        <w:t xml:space="preserve"> for the different geographic </w:t>
      </w:r>
      <w:r w:rsidR="00765D33" w:rsidRPr="00F22255">
        <w:rPr>
          <w:rFonts w:asciiTheme="minorHAnsi" w:hAnsiTheme="minorHAnsi"/>
          <w:lang w:val="en-US"/>
        </w:rPr>
        <w:t xml:space="preserve">distribution </w:t>
      </w:r>
      <w:r w:rsidR="00765D33">
        <w:rPr>
          <w:rFonts w:asciiTheme="minorHAnsi" w:hAnsiTheme="minorHAnsi"/>
          <w:lang w:val="en-US"/>
        </w:rPr>
        <w:t xml:space="preserve">classes, we observe </w:t>
      </w:r>
      <w:r w:rsidR="00760B71">
        <w:rPr>
          <w:rFonts w:asciiTheme="minorHAnsi" w:hAnsiTheme="minorHAnsi"/>
          <w:lang w:val="en-US"/>
        </w:rPr>
        <w:t>10.21</w:t>
      </w:r>
      <w:r w:rsidR="00765D33">
        <w:rPr>
          <w:rFonts w:asciiTheme="minorHAnsi" w:hAnsiTheme="minorHAnsi"/>
          <w:lang w:val="en-US"/>
        </w:rPr>
        <w:t xml:space="preserve">% improvement on transportation costs (from </w:t>
      </w:r>
      <w:r w:rsidR="00760B71">
        <w:rPr>
          <w:rFonts w:asciiTheme="minorHAnsi" w:hAnsiTheme="minorHAnsi"/>
          <w:lang w:val="en-US"/>
        </w:rPr>
        <w:t>677.20</w:t>
      </w:r>
      <w:r w:rsidR="00765D33">
        <w:rPr>
          <w:rFonts w:asciiTheme="minorHAnsi" w:hAnsiTheme="minorHAnsi"/>
          <w:lang w:val="en-US"/>
        </w:rPr>
        <w:t xml:space="preserve"> to </w:t>
      </w:r>
      <w:r w:rsidR="00760B71">
        <w:rPr>
          <w:rFonts w:asciiTheme="minorHAnsi" w:hAnsiTheme="minorHAnsi"/>
          <w:lang w:val="en-US"/>
        </w:rPr>
        <w:t>608.03</w:t>
      </w:r>
      <w:r w:rsidR="00765D33">
        <w:rPr>
          <w:rFonts w:asciiTheme="minorHAnsi" w:hAnsiTheme="minorHAnsi"/>
          <w:lang w:val="en-US"/>
        </w:rPr>
        <w:t>)</w:t>
      </w:r>
      <w:r w:rsidR="00760B71">
        <w:rPr>
          <w:rFonts w:asciiTheme="minorHAnsi" w:hAnsiTheme="minorHAnsi"/>
          <w:lang w:val="en-US"/>
        </w:rPr>
        <w:t xml:space="preserve"> for the </w:t>
      </w:r>
      <w:r w:rsidR="00760B71" w:rsidRPr="00EE0DF4">
        <w:rPr>
          <w:rFonts w:asciiTheme="minorHAnsi" w:hAnsiTheme="minorHAnsi"/>
          <w:i/>
          <w:lang w:val="en-US"/>
        </w:rPr>
        <w:t>R</w:t>
      </w:r>
      <w:r w:rsidR="00760B71">
        <w:rPr>
          <w:rFonts w:asciiTheme="minorHAnsi" w:hAnsiTheme="minorHAnsi"/>
          <w:lang w:val="en-US"/>
        </w:rPr>
        <w:t xml:space="preserve"> class</w:t>
      </w:r>
      <w:r w:rsidR="00765D33">
        <w:rPr>
          <w:rFonts w:asciiTheme="minorHAnsi" w:hAnsiTheme="minorHAnsi"/>
          <w:lang w:val="en-US"/>
        </w:rPr>
        <w:t xml:space="preserve">, while the corresponding improvement on transportation costs </w:t>
      </w:r>
      <w:r w:rsidR="00760B71">
        <w:rPr>
          <w:rFonts w:asciiTheme="minorHAnsi" w:hAnsiTheme="minorHAnsi"/>
          <w:lang w:val="en-US"/>
        </w:rPr>
        <w:t xml:space="preserve">for the </w:t>
      </w:r>
      <w:r w:rsidR="00760B71" w:rsidRPr="00EE0DF4">
        <w:rPr>
          <w:rFonts w:asciiTheme="minorHAnsi" w:hAnsiTheme="minorHAnsi"/>
          <w:i/>
          <w:lang w:val="en-US"/>
        </w:rPr>
        <w:t>C</w:t>
      </w:r>
      <w:r w:rsidR="00760B71">
        <w:rPr>
          <w:rFonts w:asciiTheme="minorHAnsi" w:hAnsiTheme="minorHAnsi"/>
          <w:lang w:val="en-US"/>
        </w:rPr>
        <w:t xml:space="preserve"> class is 22.43 % (from 819.50 to 635.69).</w:t>
      </w:r>
      <w:r w:rsidR="00FB3485">
        <w:rPr>
          <w:rFonts w:asciiTheme="minorHAnsi" w:hAnsiTheme="minorHAnsi"/>
          <w:lang w:val="en-US"/>
        </w:rPr>
        <w:t xml:space="preserve"> </w:t>
      </w:r>
      <w:r w:rsidR="00690D39">
        <w:rPr>
          <w:rFonts w:asciiTheme="minorHAnsi" w:hAnsiTheme="minorHAnsi"/>
          <w:lang w:val="en-US"/>
        </w:rPr>
        <w:t>For the</w:t>
      </w:r>
      <w:r w:rsidR="00765D33">
        <w:rPr>
          <w:rFonts w:asciiTheme="minorHAnsi" w:hAnsiTheme="minorHAnsi"/>
          <w:lang w:val="en-US"/>
        </w:rPr>
        <w:t xml:space="preserve"> </w:t>
      </w:r>
      <w:r w:rsidR="003A3E24">
        <w:rPr>
          <w:rFonts w:asciiTheme="minorHAnsi" w:hAnsiTheme="minorHAnsi"/>
          <w:lang w:val="en-US"/>
        </w:rPr>
        <w:t>cross-</w:t>
      </w:r>
      <w:r w:rsidR="003A3E24">
        <w:rPr>
          <w:rFonts w:asciiTheme="minorHAnsi" w:hAnsiTheme="minorHAnsi"/>
          <w:lang w:val="en-US"/>
        </w:rPr>
        <w:lastRenderedPageBreak/>
        <w:t>docking strategy,</w:t>
      </w:r>
      <w:r w:rsidR="00765D33">
        <w:rPr>
          <w:rFonts w:asciiTheme="minorHAnsi" w:hAnsiTheme="minorHAnsi"/>
          <w:lang w:val="en-US"/>
        </w:rPr>
        <w:t xml:space="preserve"> </w:t>
      </w:r>
      <w:r w:rsidR="00FB3485">
        <w:rPr>
          <w:rFonts w:asciiTheme="minorHAnsi" w:hAnsiTheme="minorHAnsi"/>
          <w:lang w:val="en-US"/>
        </w:rPr>
        <w:t xml:space="preserve">the improvement on transportation costs </w:t>
      </w:r>
      <w:r w:rsidR="00765D33">
        <w:rPr>
          <w:rFonts w:asciiTheme="minorHAnsi" w:hAnsiTheme="minorHAnsi"/>
          <w:lang w:val="en-US"/>
        </w:rPr>
        <w:t>is 32.52% (from 1013.25 to 793.02)</w:t>
      </w:r>
      <w:r w:rsidR="00765D33" w:rsidRPr="00765D33">
        <w:rPr>
          <w:rFonts w:asciiTheme="minorHAnsi" w:hAnsiTheme="minorHAnsi"/>
          <w:lang w:val="en-US"/>
        </w:rPr>
        <w:t xml:space="preserve"> </w:t>
      </w:r>
      <w:r w:rsidR="00765D33">
        <w:rPr>
          <w:rFonts w:asciiTheme="minorHAnsi" w:hAnsiTheme="minorHAnsi"/>
          <w:lang w:val="en-US"/>
        </w:rPr>
        <w:t>and 39.82% (from 1033.84 to 746.73)</w:t>
      </w:r>
      <w:r w:rsidR="00765D33" w:rsidRPr="00765D33">
        <w:rPr>
          <w:rFonts w:asciiTheme="minorHAnsi" w:hAnsiTheme="minorHAnsi"/>
          <w:lang w:val="en-US"/>
        </w:rPr>
        <w:t xml:space="preserve"> </w:t>
      </w:r>
      <w:r w:rsidR="00765D33">
        <w:rPr>
          <w:rFonts w:asciiTheme="minorHAnsi" w:hAnsiTheme="minorHAnsi"/>
          <w:lang w:val="en-US"/>
        </w:rPr>
        <w:t xml:space="preserve">for the </w:t>
      </w:r>
      <w:r w:rsidR="00765D33" w:rsidRPr="00EE0DF4">
        <w:rPr>
          <w:rFonts w:asciiTheme="minorHAnsi" w:hAnsiTheme="minorHAnsi"/>
          <w:i/>
          <w:lang w:val="en-US"/>
        </w:rPr>
        <w:t>R</w:t>
      </w:r>
      <w:r w:rsidR="00765D33">
        <w:rPr>
          <w:rFonts w:asciiTheme="minorHAnsi" w:hAnsiTheme="minorHAnsi"/>
          <w:lang w:val="en-US"/>
        </w:rPr>
        <w:t xml:space="preserve"> and </w:t>
      </w:r>
      <w:r w:rsidR="00765D33" w:rsidRPr="00EE0DF4">
        <w:rPr>
          <w:rFonts w:asciiTheme="minorHAnsi" w:hAnsiTheme="minorHAnsi"/>
          <w:i/>
          <w:lang w:val="en-US"/>
        </w:rPr>
        <w:t>C</w:t>
      </w:r>
      <w:r w:rsidR="00765D33">
        <w:rPr>
          <w:rFonts w:asciiTheme="minorHAnsi" w:hAnsiTheme="minorHAnsi"/>
          <w:lang w:val="en-US"/>
        </w:rPr>
        <w:t xml:space="preserve"> class, respectively.</w:t>
      </w:r>
      <w:r w:rsidR="00F33C88">
        <w:rPr>
          <w:rFonts w:asciiTheme="minorHAnsi" w:hAnsiTheme="minorHAnsi"/>
          <w:lang w:val="en-US"/>
        </w:rPr>
        <w:t xml:space="preserve"> </w:t>
      </w:r>
      <w:r w:rsidR="00765D33">
        <w:rPr>
          <w:rFonts w:asciiTheme="minorHAnsi" w:hAnsiTheme="minorHAnsi"/>
          <w:lang w:val="en-US"/>
        </w:rPr>
        <w:t xml:space="preserve">Regarding the </w:t>
      </w:r>
      <w:r w:rsidR="00765D33" w:rsidRPr="00F22255">
        <w:rPr>
          <w:rFonts w:asciiTheme="minorHAnsi" w:hAnsiTheme="minorHAnsi"/>
          <w:lang w:val="en-US"/>
        </w:rPr>
        <w:t xml:space="preserve">different </w:t>
      </w:r>
      <w:r w:rsidR="00B31414">
        <w:rPr>
          <w:rFonts w:asciiTheme="minorHAnsi" w:hAnsiTheme="minorHAnsi"/>
          <w:lang w:val="en-US"/>
        </w:rPr>
        <w:t>proximity to supplier-customer pair</w:t>
      </w:r>
      <w:r w:rsidR="00765D33" w:rsidRPr="00F22255">
        <w:rPr>
          <w:rFonts w:asciiTheme="minorHAnsi" w:hAnsiTheme="minorHAnsi"/>
          <w:lang w:val="en-US"/>
        </w:rPr>
        <w:t xml:space="preserve"> </w:t>
      </w:r>
      <w:r w:rsidR="00765D33">
        <w:rPr>
          <w:rFonts w:asciiTheme="minorHAnsi" w:hAnsiTheme="minorHAnsi"/>
          <w:lang w:val="en-US"/>
        </w:rPr>
        <w:t xml:space="preserve">classes, </w:t>
      </w:r>
      <w:r w:rsidR="00FB3485">
        <w:rPr>
          <w:rFonts w:asciiTheme="minorHAnsi" w:hAnsiTheme="minorHAnsi"/>
          <w:lang w:val="en-US"/>
        </w:rPr>
        <w:t xml:space="preserve">moving from </w:t>
      </w:r>
      <w:r w:rsidR="00FB3485" w:rsidRPr="00EE0DF4">
        <w:rPr>
          <w:rFonts w:asciiTheme="minorHAnsi" w:hAnsiTheme="minorHAnsi"/>
          <w:i/>
          <w:lang w:val="en-US"/>
        </w:rPr>
        <w:t>Q1</w:t>
      </w:r>
      <w:r w:rsidR="00FB3485">
        <w:rPr>
          <w:rFonts w:asciiTheme="minorHAnsi" w:hAnsiTheme="minorHAnsi"/>
          <w:lang w:val="en-US"/>
        </w:rPr>
        <w:t xml:space="preserve"> to </w:t>
      </w:r>
      <w:r w:rsidR="00FB3485" w:rsidRPr="00EE0DF4">
        <w:rPr>
          <w:rFonts w:asciiTheme="minorHAnsi" w:hAnsiTheme="minorHAnsi"/>
          <w:i/>
          <w:lang w:val="en-US"/>
        </w:rPr>
        <w:t>Q3</w:t>
      </w:r>
      <w:r w:rsidR="00FB3485">
        <w:rPr>
          <w:rFonts w:asciiTheme="minorHAnsi" w:hAnsiTheme="minorHAnsi"/>
          <w:lang w:val="en-US"/>
        </w:rPr>
        <w:t xml:space="preserve"> for the direct ship</w:t>
      </w:r>
      <w:r w:rsidR="00B31414">
        <w:rPr>
          <w:rFonts w:asciiTheme="minorHAnsi" w:hAnsiTheme="minorHAnsi"/>
          <w:lang w:val="en-US"/>
        </w:rPr>
        <w:t>ping strategy we observe 24.05</w:t>
      </w:r>
      <w:r w:rsidR="00FB3485">
        <w:rPr>
          <w:rFonts w:asciiTheme="minorHAnsi" w:hAnsiTheme="minorHAnsi"/>
          <w:lang w:val="en-US"/>
        </w:rPr>
        <w:t xml:space="preserve">% improvement on transportation costs (from 912.49 to 693.06) </w:t>
      </w:r>
      <w:r w:rsidR="00690D39">
        <w:rPr>
          <w:rFonts w:asciiTheme="minorHAnsi" w:hAnsiTheme="minorHAnsi"/>
          <w:lang w:val="en-US"/>
        </w:rPr>
        <w:t xml:space="preserve">for the DS class, </w:t>
      </w:r>
      <w:r w:rsidR="00FB3485">
        <w:rPr>
          <w:rFonts w:asciiTheme="minorHAnsi" w:hAnsiTheme="minorHAnsi"/>
          <w:lang w:val="en-US"/>
        </w:rPr>
        <w:t xml:space="preserve">while the corresponding improvement on transportation costs for the </w:t>
      </w:r>
      <w:r w:rsidR="00FB3485" w:rsidRPr="00EE0DF4">
        <w:rPr>
          <w:rFonts w:asciiTheme="minorHAnsi" w:hAnsiTheme="minorHAnsi"/>
          <w:i/>
          <w:lang w:val="en-US"/>
        </w:rPr>
        <w:t>CL</w:t>
      </w:r>
      <w:r w:rsidR="00FB3485">
        <w:rPr>
          <w:rFonts w:asciiTheme="minorHAnsi" w:hAnsiTheme="minorHAnsi"/>
          <w:lang w:val="en-US"/>
        </w:rPr>
        <w:t xml:space="preserve"> class is only 1.48 % (from 484.62 to 477.44). For the VRPCD, transportations costs for the</w:t>
      </w:r>
      <w:r w:rsidR="00FB3485" w:rsidRPr="00EE0DF4">
        <w:rPr>
          <w:rFonts w:asciiTheme="minorHAnsi" w:hAnsiTheme="minorHAnsi"/>
          <w:i/>
          <w:lang w:val="en-US"/>
        </w:rPr>
        <w:t xml:space="preserve"> DS</w:t>
      </w:r>
      <w:r w:rsidR="00FB3485">
        <w:rPr>
          <w:rFonts w:asciiTheme="minorHAnsi" w:hAnsiTheme="minorHAnsi"/>
          <w:lang w:val="en-US"/>
        </w:rPr>
        <w:t xml:space="preserve"> class are reduced from an average value of 1016.2</w:t>
      </w:r>
      <w:r w:rsidR="007D3FD5">
        <w:rPr>
          <w:rFonts w:asciiTheme="minorHAnsi" w:hAnsiTheme="minorHAnsi"/>
          <w:lang w:val="en-US"/>
        </w:rPr>
        <w:t>4</w:t>
      </w:r>
      <w:r w:rsidR="00FB3485">
        <w:rPr>
          <w:rFonts w:asciiTheme="minorHAnsi" w:hAnsiTheme="minorHAnsi"/>
          <w:lang w:val="en-US"/>
        </w:rPr>
        <w:t xml:space="preserve"> to 727.72, yielding an improvement of</w:t>
      </w:r>
      <w:r w:rsidR="00FB3485" w:rsidRPr="00765D33">
        <w:rPr>
          <w:rFonts w:asciiTheme="minorHAnsi" w:hAnsiTheme="minorHAnsi"/>
          <w:lang w:val="en-US"/>
        </w:rPr>
        <w:t xml:space="preserve"> </w:t>
      </w:r>
      <w:r w:rsidR="00FB3485">
        <w:rPr>
          <w:rFonts w:asciiTheme="minorHAnsi" w:hAnsiTheme="minorHAnsi"/>
          <w:lang w:val="en-US"/>
        </w:rPr>
        <w:t>28.40%</w:t>
      </w:r>
      <w:r w:rsidR="007D3FD5">
        <w:rPr>
          <w:rFonts w:asciiTheme="minorHAnsi" w:hAnsiTheme="minorHAnsi"/>
          <w:lang w:val="en-US"/>
        </w:rPr>
        <w:t>,</w:t>
      </w:r>
      <w:r w:rsidR="00426B3B">
        <w:rPr>
          <w:rFonts w:asciiTheme="minorHAnsi" w:hAnsiTheme="minorHAnsi"/>
          <w:lang w:val="en-US"/>
        </w:rPr>
        <w:t xml:space="preserve"> </w:t>
      </w:r>
      <w:r w:rsidR="00FB3485">
        <w:rPr>
          <w:rFonts w:asciiTheme="minorHAnsi" w:hAnsiTheme="minorHAnsi"/>
          <w:lang w:val="en-US"/>
        </w:rPr>
        <w:t xml:space="preserve">whereas the corresponding improvement </w:t>
      </w:r>
      <w:r w:rsidR="00426B3B">
        <w:rPr>
          <w:rFonts w:asciiTheme="minorHAnsi" w:hAnsiTheme="minorHAnsi"/>
          <w:lang w:val="en-US"/>
        </w:rPr>
        <w:t xml:space="preserve">for the </w:t>
      </w:r>
      <w:r w:rsidR="00426B3B" w:rsidRPr="00EE0DF4">
        <w:rPr>
          <w:rFonts w:asciiTheme="minorHAnsi" w:hAnsiTheme="minorHAnsi"/>
          <w:i/>
          <w:lang w:val="en-US"/>
        </w:rPr>
        <w:t>CL</w:t>
      </w:r>
      <w:r w:rsidR="00426B3B">
        <w:rPr>
          <w:rFonts w:asciiTheme="minorHAnsi" w:hAnsiTheme="minorHAnsi"/>
          <w:lang w:val="en-US"/>
        </w:rPr>
        <w:t xml:space="preserve"> class </w:t>
      </w:r>
      <w:r w:rsidR="00FB3485">
        <w:rPr>
          <w:rFonts w:asciiTheme="minorHAnsi" w:hAnsiTheme="minorHAnsi"/>
          <w:lang w:val="en-US"/>
        </w:rPr>
        <w:t xml:space="preserve">is </w:t>
      </w:r>
      <w:r w:rsidR="00426B3B">
        <w:rPr>
          <w:rFonts w:asciiTheme="minorHAnsi" w:hAnsiTheme="minorHAnsi"/>
          <w:lang w:val="en-US"/>
        </w:rPr>
        <w:t>22.59</w:t>
      </w:r>
      <w:r w:rsidR="007D3FD5">
        <w:rPr>
          <w:rFonts w:asciiTheme="minorHAnsi" w:hAnsiTheme="minorHAnsi"/>
          <w:lang w:val="en-US"/>
        </w:rPr>
        <w:t xml:space="preserve">% </w:t>
      </w:r>
      <w:r w:rsidR="00FB3485">
        <w:rPr>
          <w:rFonts w:asciiTheme="minorHAnsi" w:hAnsiTheme="minorHAnsi"/>
          <w:lang w:val="en-US"/>
        </w:rPr>
        <w:t>(from 1</w:t>
      </w:r>
      <w:r w:rsidR="00426B3B">
        <w:rPr>
          <w:rFonts w:asciiTheme="minorHAnsi" w:hAnsiTheme="minorHAnsi"/>
          <w:lang w:val="en-US"/>
        </w:rPr>
        <w:t>121</w:t>
      </w:r>
      <w:r w:rsidR="00FB3485">
        <w:rPr>
          <w:rFonts w:asciiTheme="minorHAnsi" w:hAnsiTheme="minorHAnsi"/>
          <w:lang w:val="en-US"/>
        </w:rPr>
        <w:t>.</w:t>
      </w:r>
      <w:r w:rsidR="00426B3B">
        <w:rPr>
          <w:rFonts w:asciiTheme="minorHAnsi" w:hAnsiTheme="minorHAnsi"/>
          <w:lang w:val="en-US"/>
        </w:rPr>
        <w:t>67</w:t>
      </w:r>
      <w:r w:rsidR="00FB3485">
        <w:rPr>
          <w:rFonts w:asciiTheme="minorHAnsi" w:hAnsiTheme="minorHAnsi"/>
          <w:lang w:val="en-US"/>
        </w:rPr>
        <w:t xml:space="preserve"> to </w:t>
      </w:r>
      <w:r w:rsidR="00426B3B">
        <w:rPr>
          <w:rFonts w:asciiTheme="minorHAnsi" w:hAnsiTheme="minorHAnsi"/>
          <w:lang w:val="en-US"/>
        </w:rPr>
        <w:t>868</w:t>
      </w:r>
      <w:r w:rsidR="00FB3485">
        <w:rPr>
          <w:rFonts w:asciiTheme="minorHAnsi" w:hAnsiTheme="minorHAnsi"/>
          <w:lang w:val="en-US"/>
        </w:rPr>
        <w:t>.</w:t>
      </w:r>
      <w:r w:rsidR="00426B3B">
        <w:rPr>
          <w:rFonts w:asciiTheme="minorHAnsi" w:hAnsiTheme="minorHAnsi"/>
          <w:lang w:val="en-US"/>
        </w:rPr>
        <w:t>25</w:t>
      </w:r>
      <w:r w:rsidR="00FB3485">
        <w:rPr>
          <w:rFonts w:asciiTheme="minorHAnsi" w:hAnsiTheme="minorHAnsi"/>
          <w:lang w:val="en-US"/>
        </w:rPr>
        <w:t xml:space="preserve">). </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749"/>
      </w:tblGrid>
      <w:tr w:rsidR="00714676" w:rsidTr="00DA4B35">
        <w:tc>
          <w:tcPr>
            <w:tcW w:w="4601" w:type="dxa"/>
          </w:tcPr>
          <w:p w:rsidR="00714676" w:rsidRPr="007A61B1" w:rsidRDefault="00C60F99" w:rsidP="00BC14B1">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drawing>
                <wp:inline distT="0" distB="0" distL="0" distR="0">
                  <wp:extent cx="2876550" cy="2447925"/>
                  <wp:effectExtent l="0" t="0" r="0" b="0"/>
                  <wp:docPr id="62"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62" w:type="dxa"/>
          </w:tcPr>
          <w:p w:rsidR="00714676" w:rsidRPr="007A61B1" w:rsidRDefault="00C60F99" w:rsidP="00BC14B1">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drawing>
                <wp:inline distT="0" distB="0" distL="0" distR="0">
                  <wp:extent cx="2878137" cy="2447925"/>
                  <wp:effectExtent l="0" t="0" r="0" b="0"/>
                  <wp:docPr id="63"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A4B35" w:rsidRPr="00BF1F6F" w:rsidRDefault="00C21B6E" w:rsidP="00BF1F6F">
      <w:pPr>
        <w:pStyle w:val="RoadefTexte"/>
        <w:tabs>
          <w:tab w:val="left" w:pos="0"/>
        </w:tabs>
        <w:spacing w:line="276" w:lineRule="auto"/>
        <w:ind w:firstLine="0"/>
        <w:jc w:val="center"/>
        <w:rPr>
          <w:rFonts w:asciiTheme="minorHAnsi" w:hAnsiTheme="minorHAnsi"/>
          <w:sz w:val="20"/>
          <w:lang w:val="en-US"/>
        </w:rPr>
      </w:pPr>
      <w:bookmarkStart w:id="469" w:name="OLE_LINK299"/>
      <w:bookmarkStart w:id="470" w:name="OLE_LINK300"/>
      <w:bookmarkStart w:id="471" w:name="OLE_LINK301"/>
      <w:bookmarkStart w:id="472" w:name="OLE_LINK763"/>
      <w:bookmarkStart w:id="473" w:name="OLE_LINK770"/>
      <w:bookmarkEnd w:id="462"/>
      <w:bookmarkEnd w:id="463"/>
      <w:bookmarkEnd w:id="464"/>
      <w:bookmarkEnd w:id="465"/>
      <w:bookmarkEnd w:id="466"/>
      <w:bookmarkEnd w:id="467"/>
      <w:bookmarkEnd w:id="468"/>
      <w:proofErr w:type="gramStart"/>
      <w:r w:rsidRPr="00BD3852">
        <w:rPr>
          <w:rFonts w:asciiTheme="minorHAnsi" w:hAnsiTheme="minorHAnsi"/>
          <w:b/>
          <w:sz w:val="20"/>
          <w:lang w:val="en-US"/>
        </w:rPr>
        <w:t>Figure 3.</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I</w:t>
      </w:r>
      <w:bookmarkStart w:id="474" w:name="OLE_LINK6"/>
      <w:bookmarkStart w:id="475" w:name="OLE_LINK8"/>
      <w:bookmarkStart w:id="476" w:name="OLE_LINK38"/>
      <w:r w:rsidRPr="00BD3852">
        <w:rPr>
          <w:rFonts w:asciiTheme="minorHAnsi" w:hAnsiTheme="minorHAnsi"/>
          <w:bCs/>
          <w:sz w:val="20"/>
          <w:lang w:val="en-US"/>
        </w:rPr>
        <w:t xml:space="preserve">mpact of </w:t>
      </w:r>
      <w:r w:rsidR="00843494" w:rsidRPr="00BD3852">
        <w:rPr>
          <w:rFonts w:asciiTheme="minorHAnsi" w:hAnsiTheme="minorHAnsi"/>
          <w:bCs/>
          <w:sz w:val="20"/>
          <w:lang w:val="en-US"/>
        </w:rPr>
        <w:t xml:space="preserve">the vehicle capacity </w:t>
      </w:r>
      <w:r w:rsidRPr="00BD3852">
        <w:rPr>
          <w:rFonts w:asciiTheme="minorHAnsi" w:hAnsiTheme="minorHAnsi"/>
          <w:bCs/>
          <w:sz w:val="20"/>
          <w:lang w:val="en-US"/>
        </w:rPr>
        <w:t xml:space="preserve">on the </w:t>
      </w:r>
      <w:r w:rsidR="00843494" w:rsidRPr="00BD3852">
        <w:rPr>
          <w:rFonts w:asciiTheme="minorHAnsi" w:hAnsiTheme="minorHAnsi"/>
          <w:bCs/>
          <w:sz w:val="20"/>
          <w:lang w:val="en-US"/>
        </w:rPr>
        <w:t>r</w:t>
      </w:r>
      <w:r w:rsidRPr="00BD3852">
        <w:rPr>
          <w:rFonts w:asciiTheme="minorHAnsi" w:hAnsiTheme="minorHAnsi"/>
          <w:bCs/>
          <w:sz w:val="20"/>
          <w:lang w:val="en-US"/>
        </w:rPr>
        <w:t xml:space="preserve">elative </w:t>
      </w:r>
      <w:r w:rsidR="00843494" w:rsidRPr="00BD3852">
        <w:rPr>
          <w:rFonts w:asciiTheme="minorHAnsi" w:hAnsiTheme="minorHAnsi"/>
          <w:bCs/>
          <w:sz w:val="20"/>
          <w:lang w:val="en-US"/>
        </w:rPr>
        <w:t>p</w:t>
      </w:r>
      <w:r w:rsidRPr="00BD3852">
        <w:rPr>
          <w:rFonts w:asciiTheme="minorHAnsi" w:hAnsiTheme="minorHAnsi"/>
          <w:bCs/>
          <w:sz w:val="20"/>
          <w:lang w:val="en-US"/>
        </w:rPr>
        <w:t>erformance</w:t>
      </w:r>
      <w:r w:rsidRPr="00BD3852">
        <w:rPr>
          <w:rFonts w:asciiTheme="minorHAnsi" w:hAnsiTheme="minorHAnsi"/>
          <w:sz w:val="20"/>
          <w:lang w:val="en-US"/>
        </w:rPr>
        <w:t xml:space="preserve"> </w:t>
      </w:r>
      <w:r w:rsidR="00843494" w:rsidRPr="00BD3852">
        <w:rPr>
          <w:rFonts w:asciiTheme="minorHAnsi" w:hAnsiTheme="minorHAnsi"/>
          <w:bCs/>
          <w:sz w:val="20"/>
          <w:lang w:val="en-US"/>
        </w:rPr>
        <w:t>for</w:t>
      </w:r>
      <w:r w:rsidR="00843494" w:rsidRPr="00BD3852">
        <w:rPr>
          <w:rFonts w:asciiTheme="minorHAnsi" w:hAnsiTheme="minorHAnsi"/>
          <w:sz w:val="20"/>
          <w:lang w:val="en-US"/>
        </w:rPr>
        <w:t xml:space="preserve"> Data Set I</w:t>
      </w:r>
      <w:bookmarkEnd w:id="474"/>
      <w:bookmarkEnd w:id="475"/>
      <w:bookmarkEnd w:id="476"/>
    </w:p>
    <w:p w:rsidR="00F00EA5" w:rsidRDefault="00024CD7" w:rsidP="00F00EA5">
      <w:pPr>
        <w:pStyle w:val="RoadefTexte"/>
        <w:tabs>
          <w:tab w:val="left" w:pos="0"/>
        </w:tabs>
        <w:spacing w:after="0" w:line="276" w:lineRule="auto"/>
        <w:ind w:firstLine="0"/>
        <w:rPr>
          <w:rFonts w:asciiTheme="minorHAnsi" w:hAnsiTheme="minorHAnsi"/>
          <w:i/>
          <w:lang w:val="en-US"/>
        </w:rPr>
      </w:pPr>
      <w:r w:rsidRPr="00F00EA5">
        <w:rPr>
          <w:rFonts w:asciiTheme="minorHAnsi" w:hAnsiTheme="minorHAnsi"/>
          <w:i/>
          <w:lang w:val="en-US"/>
        </w:rPr>
        <w:t>V</w:t>
      </w:r>
      <w:r w:rsidR="005A78D2" w:rsidRPr="00F00EA5">
        <w:rPr>
          <w:rFonts w:asciiTheme="minorHAnsi" w:hAnsiTheme="minorHAnsi"/>
          <w:i/>
          <w:lang w:val="en-US"/>
        </w:rPr>
        <w:t xml:space="preserve">ehicle </w:t>
      </w:r>
      <w:r w:rsidR="00F22E7A" w:rsidRPr="00F00EA5">
        <w:rPr>
          <w:rFonts w:asciiTheme="minorHAnsi" w:hAnsiTheme="minorHAnsi"/>
          <w:i/>
          <w:lang w:val="en-US"/>
        </w:rPr>
        <w:t>r</w:t>
      </w:r>
      <w:r w:rsidR="004151BB" w:rsidRPr="00F00EA5">
        <w:rPr>
          <w:rFonts w:asciiTheme="minorHAnsi" w:hAnsiTheme="minorHAnsi"/>
          <w:i/>
          <w:lang w:val="en-US"/>
        </w:rPr>
        <w:t>oute duration</w:t>
      </w:r>
      <w:r w:rsidR="00863CD9" w:rsidRPr="00F00EA5">
        <w:rPr>
          <w:rFonts w:asciiTheme="minorHAnsi" w:hAnsiTheme="minorHAnsi"/>
          <w:i/>
          <w:lang w:val="en-US"/>
        </w:rPr>
        <w:t xml:space="preserve"> (T)</w:t>
      </w:r>
    </w:p>
    <w:p w:rsidR="00BF29A1" w:rsidRPr="007E4135" w:rsidRDefault="00C738F8" w:rsidP="00F00EA5">
      <w:pPr>
        <w:pStyle w:val="RoadefTexte"/>
        <w:tabs>
          <w:tab w:val="left" w:pos="0"/>
        </w:tabs>
        <w:spacing w:after="0" w:line="276" w:lineRule="auto"/>
        <w:ind w:firstLine="0"/>
        <w:rPr>
          <w:rFonts w:asciiTheme="minorHAnsi" w:hAnsiTheme="minorHAnsi"/>
          <w:lang w:val="en-US"/>
        </w:rPr>
      </w:pPr>
      <w:r w:rsidRPr="00584BF2">
        <w:rPr>
          <w:rFonts w:asciiTheme="minorHAnsi" w:hAnsiTheme="minorHAnsi"/>
          <w:lang w:val="en-US"/>
        </w:rPr>
        <w:t xml:space="preserve">The impact of </w:t>
      </w:r>
      <w:r w:rsidR="00024CD7">
        <w:rPr>
          <w:rFonts w:asciiTheme="minorHAnsi" w:hAnsiTheme="minorHAnsi"/>
          <w:lang w:val="en-US"/>
        </w:rPr>
        <w:t>loosening</w:t>
      </w:r>
      <w:r>
        <w:rPr>
          <w:rFonts w:asciiTheme="minorHAnsi" w:hAnsiTheme="minorHAnsi"/>
          <w:lang w:val="en-US"/>
        </w:rPr>
        <w:t xml:space="preserve"> the</w:t>
      </w:r>
      <w:r w:rsidRPr="00584BF2">
        <w:rPr>
          <w:rFonts w:asciiTheme="minorHAnsi" w:hAnsiTheme="minorHAnsi"/>
          <w:lang w:val="en-US"/>
        </w:rPr>
        <w:t xml:space="preserve"> route duration </w:t>
      </w:r>
      <w:r>
        <w:rPr>
          <w:rFonts w:asciiTheme="minorHAnsi" w:hAnsiTheme="minorHAnsi"/>
          <w:lang w:val="en-US"/>
        </w:rPr>
        <w:t xml:space="preserve">constraint </w:t>
      </w:r>
      <w:r w:rsidRPr="00584BF2">
        <w:rPr>
          <w:rFonts w:asciiTheme="minorHAnsi" w:hAnsiTheme="minorHAnsi"/>
          <w:lang w:val="en-US"/>
        </w:rPr>
        <w:t>is shown</w:t>
      </w:r>
      <w:r>
        <w:rPr>
          <w:rFonts w:asciiTheme="minorHAnsi" w:hAnsiTheme="minorHAnsi"/>
          <w:lang w:val="en-US"/>
        </w:rPr>
        <w:t xml:space="preserve"> graphically</w:t>
      </w:r>
      <w:r w:rsidRPr="00584BF2">
        <w:rPr>
          <w:rFonts w:asciiTheme="minorHAnsi" w:hAnsiTheme="minorHAnsi"/>
          <w:lang w:val="en-US"/>
        </w:rPr>
        <w:t xml:space="preserve"> in Figure</w:t>
      </w:r>
      <w:r w:rsidR="00376E5B">
        <w:rPr>
          <w:rFonts w:asciiTheme="minorHAnsi" w:hAnsiTheme="minorHAnsi"/>
          <w:lang w:val="en-US"/>
        </w:rPr>
        <w:t xml:space="preserve"> </w:t>
      </w:r>
      <w:r w:rsidR="00F839DA">
        <w:rPr>
          <w:rFonts w:asciiTheme="minorHAnsi" w:hAnsiTheme="minorHAnsi"/>
          <w:lang w:val="en-US"/>
        </w:rPr>
        <w:t>4</w:t>
      </w:r>
      <w:r>
        <w:rPr>
          <w:rFonts w:asciiTheme="minorHAnsi" w:hAnsiTheme="minorHAnsi"/>
          <w:lang w:val="en-US"/>
        </w:rPr>
        <w:t>.</w:t>
      </w:r>
      <w:r w:rsidR="0052673B">
        <w:rPr>
          <w:rFonts w:asciiTheme="minorHAnsi" w:hAnsiTheme="minorHAnsi"/>
          <w:lang w:val="en-US"/>
        </w:rPr>
        <w:t xml:space="preserve"> </w:t>
      </w:r>
      <w:r w:rsidR="004975D7">
        <w:rPr>
          <w:rFonts w:asciiTheme="minorHAnsi" w:hAnsiTheme="minorHAnsi"/>
          <w:lang w:val="en-US"/>
        </w:rPr>
        <w:t xml:space="preserve">We observe that </w:t>
      </w:r>
      <w:r w:rsidR="00DD3DB7">
        <w:rPr>
          <w:rFonts w:asciiTheme="minorHAnsi" w:hAnsiTheme="minorHAnsi"/>
          <w:lang w:val="en-US"/>
        </w:rPr>
        <w:t xml:space="preserve">the average </w:t>
      </w:r>
      <w:r w:rsidR="004975D7" w:rsidRPr="00B31414">
        <w:rPr>
          <w:rFonts w:asciiTheme="minorHAnsi" w:hAnsiTheme="minorHAnsi"/>
          <w:i/>
          <w:lang w:val="el-GR"/>
        </w:rPr>
        <w:t>λ</w:t>
      </w:r>
      <w:r w:rsidR="004975D7" w:rsidRPr="004975D7">
        <w:rPr>
          <w:rFonts w:asciiTheme="minorHAnsi" w:hAnsiTheme="minorHAnsi"/>
          <w:lang w:val="en-US"/>
        </w:rPr>
        <w:t xml:space="preserve"> </w:t>
      </w:r>
      <w:r w:rsidR="00DD3DB7">
        <w:rPr>
          <w:rFonts w:asciiTheme="minorHAnsi" w:hAnsiTheme="minorHAnsi"/>
          <w:lang w:val="en-US"/>
        </w:rPr>
        <w:t xml:space="preserve">values seem to </w:t>
      </w:r>
      <w:r w:rsidR="002617B7">
        <w:rPr>
          <w:rFonts w:asciiTheme="minorHAnsi" w:hAnsiTheme="minorHAnsi"/>
          <w:lang w:val="en-US"/>
        </w:rPr>
        <w:t>remain</w:t>
      </w:r>
      <w:r w:rsidR="004975D7">
        <w:rPr>
          <w:rFonts w:asciiTheme="minorHAnsi" w:hAnsiTheme="minorHAnsi"/>
          <w:lang w:val="en-US"/>
        </w:rPr>
        <w:t xml:space="preserve"> stable </w:t>
      </w:r>
      <w:r w:rsidR="002617B7">
        <w:rPr>
          <w:rFonts w:asciiTheme="minorHAnsi" w:hAnsiTheme="minorHAnsi"/>
          <w:lang w:val="en-US"/>
        </w:rPr>
        <w:t xml:space="preserve">for the three levels of parameter </w:t>
      </w:r>
      <w:r w:rsidR="002617B7" w:rsidRPr="002A07AB">
        <w:rPr>
          <w:rFonts w:asciiTheme="minorHAnsi" w:hAnsiTheme="minorHAnsi"/>
          <w:i/>
          <w:lang w:val="en-US"/>
        </w:rPr>
        <w:t>T</w:t>
      </w:r>
      <w:r w:rsidR="002617B7">
        <w:rPr>
          <w:rFonts w:asciiTheme="minorHAnsi" w:hAnsiTheme="minorHAnsi"/>
          <w:lang w:val="en-US"/>
        </w:rPr>
        <w:t xml:space="preserve">. </w:t>
      </w:r>
      <w:r w:rsidR="00DD3DB7">
        <w:rPr>
          <w:rFonts w:asciiTheme="minorHAnsi" w:hAnsiTheme="minorHAnsi"/>
          <w:lang w:val="en-US"/>
        </w:rPr>
        <w:t>A c</w:t>
      </w:r>
      <w:r w:rsidR="00B31414">
        <w:rPr>
          <w:rFonts w:asciiTheme="minorHAnsi" w:hAnsiTheme="minorHAnsi"/>
          <w:lang w:val="en-US"/>
        </w:rPr>
        <w:t>loser</w:t>
      </w:r>
      <w:r w:rsidR="002617B7">
        <w:rPr>
          <w:rFonts w:asciiTheme="minorHAnsi" w:hAnsiTheme="minorHAnsi"/>
          <w:lang w:val="en-US"/>
        </w:rPr>
        <w:t xml:space="preserve"> anal</w:t>
      </w:r>
      <w:r w:rsidR="00DD3DB7">
        <w:rPr>
          <w:rFonts w:asciiTheme="minorHAnsi" w:hAnsiTheme="minorHAnsi"/>
          <w:lang w:val="en-US"/>
        </w:rPr>
        <w:t xml:space="preserve">ysis of </w:t>
      </w:r>
      <w:r w:rsidR="002A07AB">
        <w:rPr>
          <w:rFonts w:asciiTheme="minorHAnsi" w:hAnsiTheme="minorHAnsi"/>
          <w:lang w:val="en-US"/>
        </w:rPr>
        <w:t xml:space="preserve">the </w:t>
      </w:r>
      <w:r w:rsidR="00DD3DB7">
        <w:rPr>
          <w:rFonts w:asciiTheme="minorHAnsi" w:hAnsiTheme="minorHAnsi"/>
          <w:lang w:val="en-US"/>
        </w:rPr>
        <w:t xml:space="preserve">solution costs for specific </w:t>
      </w:r>
      <w:r w:rsidR="002A07AB">
        <w:rPr>
          <w:rFonts w:asciiTheme="minorHAnsi" w:hAnsiTheme="minorHAnsi"/>
          <w:lang w:val="en-US"/>
        </w:rPr>
        <w:t>problem</w:t>
      </w:r>
      <w:r w:rsidR="00B31414">
        <w:rPr>
          <w:rFonts w:asciiTheme="minorHAnsi" w:hAnsiTheme="minorHAnsi"/>
          <w:lang w:val="en-US"/>
        </w:rPr>
        <w:t xml:space="preserve"> instance</w:t>
      </w:r>
      <w:r w:rsidR="002A07AB">
        <w:rPr>
          <w:rFonts w:asciiTheme="minorHAnsi" w:hAnsiTheme="minorHAnsi"/>
          <w:lang w:val="en-US"/>
        </w:rPr>
        <w:t>s</w:t>
      </w:r>
      <w:r w:rsidR="00DD3DB7">
        <w:rPr>
          <w:rFonts w:asciiTheme="minorHAnsi" w:hAnsiTheme="minorHAnsi"/>
          <w:lang w:val="en-US"/>
        </w:rPr>
        <w:t xml:space="preserve"> reveals that this </w:t>
      </w:r>
      <w:r w:rsidR="002A07AB">
        <w:rPr>
          <w:rFonts w:asciiTheme="minorHAnsi" w:hAnsiTheme="minorHAnsi"/>
          <w:lang w:val="en-US"/>
        </w:rPr>
        <w:t>stability</w:t>
      </w:r>
      <w:r w:rsidR="00DD3DB7">
        <w:rPr>
          <w:rFonts w:asciiTheme="minorHAnsi" w:hAnsiTheme="minorHAnsi"/>
          <w:lang w:val="en-US"/>
        </w:rPr>
        <w:t xml:space="preserve"> </w:t>
      </w:r>
      <w:r w:rsidR="002A07AB">
        <w:rPr>
          <w:rFonts w:asciiTheme="minorHAnsi" w:hAnsiTheme="minorHAnsi"/>
          <w:lang w:val="en-US"/>
        </w:rPr>
        <w:t>comes from</w:t>
      </w:r>
      <w:r w:rsidR="00DD3DB7">
        <w:rPr>
          <w:rFonts w:asciiTheme="minorHAnsi" w:hAnsiTheme="minorHAnsi"/>
          <w:lang w:val="en-US"/>
        </w:rPr>
        <w:t xml:space="preserve"> the interplay of the capacity and route duration constraints. </w:t>
      </w:r>
      <w:r w:rsidR="007E4135">
        <w:rPr>
          <w:rFonts w:asciiTheme="minorHAnsi" w:hAnsiTheme="minorHAnsi"/>
          <w:lang w:val="en-US"/>
        </w:rPr>
        <w:t xml:space="preserve">There are cases where the increase of </w:t>
      </w:r>
      <w:r w:rsidR="007E4135" w:rsidRPr="009D769F">
        <w:rPr>
          <w:rFonts w:asciiTheme="minorHAnsi" w:hAnsiTheme="minorHAnsi"/>
          <w:i/>
          <w:lang w:val="en-US"/>
        </w:rPr>
        <w:t>T</w:t>
      </w:r>
      <w:r w:rsidR="007E4135">
        <w:rPr>
          <w:rFonts w:asciiTheme="minorHAnsi" w:hAnsiTheme="minorHAnsi"/>
          <w:lang w:val="en-US"/>
        </w:rPr>
        <w:t xml:space="preserve"> causes </w:t>
      </w:r>
      <w:r w:rsidR="007E4135" w:rsidRPr="002A07AB">
        <w:rPr>
          <w:rFonts w:asciiTheme="minorHAnsi" w:hAnsiTheme="minorHAnsi"/>
          <w:i/>
          <w:lang w:val="el-GR"/>
        </w:rPr>
        <w:t>λ</w:t>
      </w:r>
      <w:r w:rsidR="007E4135" w:rsidRPr="007E4135">
        <w:rPr>
          <w:rFonts w:asciiTheme="minorHAnsi" w:hAnsiTheme="minorHAnsi"/>
          <w:lang w:val="en-US"/>
        </w:rPr>
        <w:t xml:space="preserve"> </w:t>
      </w:r>
      <w:r w:rsidR="007E4135">
        <w:rPr>
          <w:rFonts w:asciiTheme="minorHAnsi" w:hAnsiTheme="minorHAnsi"/>
          <w:lang w:val="en-US"/>
        </w:rPr>
        <w:t>to increase</w:t>
      </w:r>
      <w:r w:rsidR="00374C08">
        <w:rPr>
          <w:rFonts w:asciiTheme="minorHAnsi" w:hAnsiTheme="minorHAnsi"/>
          <w:lang w:val="en-US"/>
        </w:rPr>
        <w:t>,</w:t>
      </w:r>
      <w:r w:rsidR="00B31414">
        <w:rPr>
          <w:rFonts w:asciiTheme="minorHAnsi" w:hAnsiTheme="minorHAnsi"/>
          <w:lang w:val="en-US"/>
        </w:rPr>
        <w:t xml:space="preserve"> meaning that the cross-docking </w:t>
      </w:r>
      <w:r w:rsidR="007E4135">
        <w:rPr>
          <w:rFonts w:asciiTheme="minorHAnsi" w:hAnsiTheme="minorHAnsi"/>
          <w:lang w:val="en-US"/>
        </w:rPr>
        <w:t xml:space="preserve">yields more significant cost savings than the </w:t>
      </w:r>
      <w:r w:rsidR="00B31414">
        <w:rPr>
          <w:rFonts w:asciiTheme="minorHAnsi" w:hAnsiTheme="minorHAnsi"/>
          <w:lang w:val="en-US"/>
        </w:rPr>
        <w:t>direct-shipping strategy</w:t>
      </w:r>
      <w:r w:rsidR="007E4135">
        <w:rPr>
          <w:rFonts w:asciiTheme="minorHAnsi" w:hAnsiTheme="minorHAnsi"/>
          <w:lang w:val="en-US"/>
        </w:rPr>
        <w:t>.</w:t>
      </w:r>
      <w:r w:rsidR="009D769F">
        <w:rPr>
          <w:rFonts w:asciiTheme="minorHAnsi" w:hAnsiTheme="minorHAnsi"/>
          <w:lang w:val="en-US"/>
        </w:rPr>
        <w:t xml:space="preserve"> In principle, this behavior is observed when the initial </w:t>
      </w:r>
      <w:r w:rsidR="009D769F" w:rsidRPr="009D769F">
        <w:rPr>
          <w:rFonts w:asciiTheme="minorHAnsi" w:hAnsiTheme="minorHAnsi"/>
          <w:i/>
          <w:lang w:val="en-US"/>
        </w:rPr>
        <w:t>T</w:t>
      </w:r>
      <w:r w:rsidR="009D769F">
        <w:rPr>
          <w:rFonts w:asciiTheme="minorHAnsi" w:hAnsiTheme="minorHAnsi"/>
          <w:lang w:val="en-US"/>
        </w:rPr>
        <w:t xml:space="preserve"> value is very low and the route shape strongly depends on </w:t>
      </w:r>
      <w:r w:rsidR="009D769F" w:rsidRPr="009D769F">
        <w:rPr>
          <w:rFonts w:asciiTheme="minorHAnsi" w:hAnsiTheme="minorHAnsi"/>
          <w:i/>
          <w:lang w:val="en-US"/>
        </w:rPr>
        <w:t>T</w:t>
      </w:r>
      <w:r w:rsidR="009D769F">
        <w:rPr>
          <w:rFonts w:asciiTheme="minorHAnsi" w:hAnsiTheme="minorHAnsi"/>
          <w:lang w:val="en-US"/>
        </w:rPr>
        <w:t xml:space="preserve">. However, there are other cases where the </w:t>
      </w:r>
      <w:r w:rsidR="000D4A45">
        <w:rPr>
          <w:rFonts w:asciiTheme="minorHAnsi" w:hAnsiTheme="minorHAnsi"/>
          <w:lang w:val="en-US"/>
        </w:rPr>
        <w:t>increase of</w:t>
      </w:r>
      <w:r w:rsidR="009D769F">
        <w:rPr>
          <w:rFonts w:asciiTheme="minorHAnsi" w:hAnsiTheme="minorHAnsi"/>
          <w:lang w:val="en-US"/>
        </w:rPr>
        <w:t xml:space="preserve"> </w:t>
      </w:r>
      <w:r w:rsidR="009D769F" w:rsidRPr="009D769F">
        <w:rPr>
          <w:rFonts w:asciiTheme="minorHAnsi" w:hAnsiTheme="minorHAnsi"/>
          <w:i/>
          <w:lang w:val="en-US"/>
        </w:rPr>
        <w:t>T</w:t>
      </w:r>
      <w:r w:rsidR="000D4A45">
        <w:rPr>
          <w:rFonts w:asciiTheme="minorHAnsi" w:hAnsiTheme="minorHAnsi"/>
          <w:lang w:val="en-US"/>
        </w:rPr>
        <w:t xml:space="preserve"> reduces the relative effectiveness of the </w:t>
      </w:r>
      <w:r w:rsidR="00B31414">
        <w:rPr>
          <w:rFonts w:asciiTheme="minorHAnsi" w:hAnsiTheme="minorHAnsi"/>
          <w:lang w:val="en-US"/>
        </w:rPr>
        <w:t>cross-docking strategy</w:t>
      </w:r>
      <w:r w:rsidR="000D4A45">
        <w:rPr>
          <w:rFonts w:asciiTheme="minorHAnsi" w:hAnsiTheme="minorHAnsi"/>
          <w:lang w:val="en-US"/>
        </w:rPr>
        <w:t>.</w:t>
      </w:r>
      <w:r w:rsidR="009D769F">
        <w:rPr>
          <w:rFonts w:asciiTheme="minorHAnsi" w:hAnsiTheme="minorHAnsi"/>
          <w:lang w:val="en-US"/>
        </w:rPr>
        <w:t xml:space="preserve"> These cases involve high </w:t>
      </w:r>
      <w:r w:rsidR="000D4A45">
        <w:rPr>
          <w:rFonts w:asciiTheme="minorHAnsi" w:hAnsiTheme="minorHAnsi"/>
          <w:lang w:val="en-US"/>
        </w:rPr>
        <w:t>base</w:t>
      </w:r>
      <w:r w:rsidR="009D769F">
        <w:rPr>
          <w:rFonts w:asciiTheme="minorHAnsi" w:hAnsiTheme="minorHAnsi"/>
          <w:lang w:val="en-US"/>
        </w:rPr>
        <w:t xml:space="preserve"> values</w:t>
      </w:r>
      <w:r w:rsidR="00BF29A1">
        <w:rPr>
          <w:rFonts w:asciiTheme="minorHAnsi" w:hAnsiTheme="minorHAnsi"/>
          <w:lang w:val="en-US"/>
        </w:rPr>
        <w:t xml:space="preserve"> of </w:t>
      </w:r>
      <w:r w:rsidR="00BF29A1" w:rsidRPr="00BF29A1">
        <w:rPr>
          <w:rFonts w:asciiTheme="minorHAnsi" w:hAnsiTheme="minorHAnsi"/>
          <w:i/>
          <w:lang w:val="en-US"/>
        </w:rPr>
        <w:t>T</w:t>
      </w:r>
      <w:r w:rsidR="00B31414">
        <w:rPr>
          <w:rFonts w:asciiTheme="minorHAnsi" w:hAnsiTheme="minorHAnsi"/>
          <w:lang w:val="en-US"/>
        </w:rPr>
        <w:t xml:space="preserve">, </w:t>
      </w:r>
      <w:r w:rsidR="00BF29A1">
        <w:rPr>
          <w:rFonts w:asciiTheme="minorHAnsi" w:hAnsiTheme="minorHAnsi"/>
          <w:lang w:val="en-US"/>
        </w:rPr>
        <w:t>which cause the shape of the VRPCD routes to be mainly defined by the capacity constraints</w:t>
      </w:r>
      <w:r w:rsidR="009D769F">
        <w:rPr>
          <w:rFonts w:asciiTheme="minorHAnsi" w:hAnsiTheme="minorHAnsi"/>
          <w:lang w:val="en-US"/>
        </w:rPr>
        <w:t xml:space="preserve">, </w:t>
      </w:r>
      <w:r w:rsidR="00BF29A1">
        <w:rPr>
          <w:rFonts w:asciiTheme="minorHAnsi" w:hAnsiTheme="minorHAnsi"/>
          <w:lang w:val="en-US"/>
        </w:rPr>
        <w:t>so that</w:t>
      </w:r>
      <w:r w:rsidR="009D769F">
        <w:rPr>
          <w:rFonts w:asciiTheme="minorHAnsi" w:hAnsiTheme="minorHAnsi"/>
          <w:lang w:val="en-US"/>
        </w:rPr>
        <w:t xml:space="preserve"> further </w:t>
      </w:r>
      <w:r w:rsidR="009D769F" w:rsidRPr="002A07AB">
        <w:rPr>
          <w:rFonts w:asciiTheme="minorHAnsi" w:hAnsiTheme="minorHAnsi"/>
          <w:i/>
          <w:lang w:val="en-US"/>
        </w:rPr>
        <w:t>T</w:t>
      </w:r>
      <w:r w:rsidR="009D769F">
        <w:rPr>
          <w:rFonts w:asciiTheme="minorHAnsi" w:hAnsiTheme="minorHAnsi"/>
          <w:lang w:val="en-US"/>
        </w:rPr>
        <w:t xml:space="preserve"> increase has no impact </w:t>
      </w:r>
      <w:r w:rsidR="00BF29A1">
        <w:rPr>
          <w:rFonts w:asciiTheme="minorHAnsi" w:hAnsiTheme="minorHAnsi"/>
          <w:lang w:val="en-US"/>
        </w:rPr>
        <w:t>on</w:t>
      </w:r>
      <w:r w:rsidR="009D769F">
        <w:rPr>
          <w:rFonts w:asciiTheme="minorHAnsi" w:hAnsiTheme="minorHAnsi"/>
          <w:lang w:val="en-US"/>
        </w:rPr>
        <w:t xml:space="preserve"> the VRPCD </w:t>
      </w:r>
      <w:r w:rsidR="00BF29A1">
        <w:rPr>
          <w:rFonts w:asciiTheme="minorHAnsi" w:hAnsiTheme="minorHAnsi"/>
          <w:lang w:val="en-US"/>
        </w:rPr>
        <w:t>solution cost</w:t>
      </w:r>
      <w:r w:rsidR="009D769F">
        <w:rPr>
          <w:rFonts w:asciiTheme="minorHAnsi" w:hAnsiTheme="minorHAnsi"/>
          <w:lang w:val="en-US"/>
        </w:rPr>
        <w:t xml:space="preserve">. On the contrary, since the </w:t>
      </w:r>
      <w:r w:rsidR="00B31414">
        <w:rPr>
          <w:rFonts w:asciiTheme="minorHAnsi" w:hAnsiTheme="minorHAnsi"/>
          <w:lang w:val="en-US"/>
        </w:rPr>
        <w:t>direct shipping strategy</w:t>
      </w:r>
      <w:r w:rsidR="009D769F">
        <w:rPr>
          <w:rFonts w:asciiTheme="minorHAnsi" w:hAnsiTheme="minorHAnsi"/>
          <w:lang w:val="en-US"/>
        </w:rPr>
        <w:t xml:space="preserve"> is not so sensitive to the capacity constraints (vehicles are unloaded </w:t>
      </w:r>
      <w:r w:rsidR="00BF29A1">
        <w:rPr>
          <w:rFonts w:asciiTheme="minorHAnsi" w:hAnsiTheme="minorHAnsi"/>
          <w:lang w:val="en-US"/>
        </w:rPr>
        <w:t>along</w:t>
      </w:r>
      <w:r w:rsidR="009D769F">
        <w:rPr>
          <w:rFonts w:asciiTheme="minorHAnsi" w:hAnsiTheme="minorHAnsi"/>
          <w:lang w:val="en-US"/>
        </w:rPr>
        <w:t xml:space="preserve"> their trips), it exploits cost savings opportunities provided by the increase of the maximum </w:t>
      </w:r>
      <w:r w:rsidR="004C4705">
        <w:rPr>
          <w:rFonts w:asciiTheme="minorHAnsi" w:hAnsiTheme="minorHAnsi"/>
          <w:lang w:val="en-US"/>
        </w:rPr>
        <w:t xml:space="preserve">route </w:t>
      </w:r>
      <w:r w:rsidR="009D769F">
        <w:rPr>
          <w:rFonts w:asciiTheme="minorHAnsi" w:hAnsiTheme="minorHAnsi"/>
          <w:lang w:val="en-US"/>
        </w:rPr>
        <w:t>duration</w:t>
      </w:r>
      <w:r w:rsidR="0052673B">
        <w:rPr>
          <w:rFonts w:asciiTheme="minorHAnsi" w:hAnsiTheme="minorHAnsi"/>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3732DC" w:rsidTr="00DA4B35">
        <w:trPr>
          <w:jc w:val="center"/>
        </w:trPr>
        <w:tc>
          <w:tcPr>
            <w:tcW w:w="4749" w:type="dxa"/>
          </w:tcPr>
          <w:p w:rsidR="003732DC" w:rsidRDefault="00C60F99" w:rsidP="00777386">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lastRenderedPageBreak/>
              <w:drawing>
                <wp:inline distT="0" distB="0" distL="0" distR="0">
                  <wp:extent cx="2878137" cy="2447925"/>
                  <wp:effectExtent l="0" t="0" r="0" b="0"/>
                  <wp:docPr id="65"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749" w:type="dxa"/>
          </w:tcPr>
          <w:p w:rsidR="003732DC" w:rsidRPr="007A61B1" w:rsidRDefault="00C60F99" w:rsidP="00BC14B1">
            <w:pPr>
              <w:pStyle w:val="RoadefTexte"/>
              <w:tabs>
                <w:tab w:val="left" w:pos="0"/>
              </w:tabs>
              <w:ind w:firstLine="0"/>
              <w:rPr>
                <w:rFonts w:asciiTheme="minorHAnsi" w:hAnsiTheme="minorHAnsi"/>
                <w:b/>
                <w:sz w:val="18"/>
              </w:rPr>
            </w:pPr>
            <w:r w:rsidRPr="00C60F99">
              <w:rPr>
                <w:rFonts w:asciiTheme="minorHAnsi" w:hAnsiTheme="minorHAnsi"/>
                <w:b/>
                <w:noProof/>
                <w:sz w:val="18"/>
                <w:lang w:val="en-US"/>
              </w:rPr>
              <w:drawing>
                <wp:inline distT="0" distB="0" distL="0" distR="0">
                  <wp:extent cx="2878137" cy="2447925"/>
                  <wp:effectExtent l="0" t="0" r="0" b="0"/>
                  <wp:docPr id="64"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BF1F6F" w:rsidRPr="00BF1F6F" w:rsidRDefault="00843494" w:rsidP="00BF1F6F">
      <w:pPr>
        <w:pStyle w:val="RoadefTexte"/>
        <w:tabs>
          <w:tab w:val="left" w:pos="0"/>
        </w:tabs>
        <w:spacing w:line="276" w:lineRule="auto"/>
        <w:ind w:firstLine="0"/>
        <w:jc w:val="center"/>
        <w:rPr>
          <w:rFonts w:asciiTheme="minorHAnsi" w:hAnsiTheme="minorHAnsi"/>
          <w:sz w:val="20"/>
          <w:lang w:val="en-US"/>
        </w:rPr>
      </w:pPr>
      <w:bookmarkStart w:id="477" w:name="OLE_LINK910"/>
      <w:bookmarkStart w:id="478" w:name="OLE_LINK911"/>
      <w:bookmarkStart w:id="479" w:name="OLE_LINK912"/>
      <w:bookmarkStart w:id="480" w:name="OLE_LINK774"/>
      <w:bookmarkStart w:id="481" w:name="OLE_LINK775"/>
      <w:bookmarkStart w:id="482" w:name="OLE_LINK302"/>
      <w:bookmarkStart w:id="483" w:name="OLE_LINK303"/>
      <w:bookmarkEnd w:id="440"/>
      <w:bookmarkEnd w:id="441"/>
      <w:bookmarkEnd w:id="442"/>
      <w:bookmarkEnd w:id="469"/>
      <w:bookmarkEnd w:id="470"/>
      <w:bookmarkEnd w:id="471"/>
      <w:bookmarkEnd w:id="472"/>
      <w:bookmarkEnd w:id="473"/>
      <w:proofErr w:type="gramStart"/>
      <w:r w:rsidRPr="00BD3852">
        <w:rPr>
          <w:rFonts w:asciiTheme="minorHAnsi" w:hAnsiTheme="minorHAnsi"/>
          <w:b/>
          <w:sz w:val="20"/>
          <w:lang w:val="en-US"/>
        </w:rPr>
        <w:t>Figure 4.</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Impact of the route duration on the relative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w:t>
      </w:r>
    </w:p>
    <w:p w:rsidR="00F00EA5" w:rsidRDefault="00BC14B1" w:rsidP="00F00EA5">
      <w:pPr>
        <w:pStyle w:val="RoadefTexte"/>
        <w:tabs>
          <w:tab w:val="left" w:pos="0"/>
        </w:tabs>
        <w:spacing w:after="0" w:line="276" w:lineRule="auto"/>
        <w:ind w:firstLine="0"/>
        <w:rPr>
          <w:rFonts w:asciiTheme="minorHAnsi" w:hAnsiTheme="minorHAnsi"/>
          <w:b/>
          <w:lang w:val="en-US"/>
        </w:rPr>
      </w:pPr>
      <w:bookmarkStart w:id="484" w:name="OLE_LINK117"/>
      <w:bookmarkStart w:id="485" w:name="OLE_LINK120"/>
      <w:r w:rsidRPr="00F00EA5">
        <w:rPr>
          <w:rFonts w:asciiTheme="minorHAnsi" w:hAnsiTheme="minorHAnsi"/>
          <w:i/>
          <w:lang w:val="en-US"/>
        </w:rPr>
        <w:t>L</w:t>
      </w:r>
      <w:r w:rsidR="00DF45A3" w:rsidRPr="00F00EA5">
        <w:rPr>
          <w:rFonts w:asciiTheme="minorHAnsi" w:hAnsiTheme="minorHAnsi"/>
          <w:i/>
          <w:lang w:val="en-US"/>
        </w:rPr>
        <w:t xml:space="preserve">ocation of the </w:t>
      </w:r>
      <w:bookmarkStart w:id="486" w:name="OLE_LINK115"/>
      <w:bookmarkStart w:id="487" w:name="OLE_LINK116"/>
      <w:bookmarkEnd w:id="484"/>
      <w:bookmarkEnd w:id="485"/>
      <w:r w:rsidR="003A6947" w:rsidRPr="00F00EA5">
        <w:rPr>
          <w:rFonts w:asciiTheme="minorHAnsi" w:hAnsiTheme="minorHAnsi"/>
          <w:i/>
          <w:lang w:val="en-US"/>
        </w:rPr>
        <w:t>depot</w:t>
      </w:r>
      <w:r w:rsidR="00ED7EB2" w:rsidRPr="00F00EA5">
        <w:rPr>
          <w:rFonts w:asciiTheme="minorHAnsi" w:hAnsiTheme="minorHAnsi"/>
          <w:i/>
          <w:lang w:val="en-US"/>
        </w:rPr>
        <w:t xml:space="preserve"> </w:t>
      </w:r>
      <w:r w:rsidR="00863CD9" w:rsidRPr="00F00EA5">
        <w:rPr>
          <w:rFonts w:asciiTheme="minorHAnsi" w:hAnsiTheme="minorHAnsi"/>
          <w:i/>
          <w:lang w:val="en-US"/>
        </w:rPr>
        <w:t>(</w:t>
      </w:r>
      <w:r w:rsidR="00CC2C4A" w:rsidRPr="00F00EA5">
        <w:rPr>
          <w:rFonts w:asciiTheme="minorHAnsi" w:hAnsiTheme="minorHAnsi"/>
          <w:i/>
          <w:lang w:val="en-US"/>
        </w:rPr>
        <w:t>D</w:t>
      </w:r>
      <w:r w:rsidR="00863CD9" w:rsidRPr="00F00EA5">
        <w:rPr>
          <w:rFonts w:asciiTheme="minorHAnsi" w:hAnsiTheme="minorHAnsi"/>
          <w:i/>
          <w:lang w:val="en-US"/>
        </w:rPr>
        <w:t>)</w:t>
      </w:r>
      <w:bookmarkEnd w:id="477"/>
      <w:bookmarkEnd w:id="478"/>
      <w:bookmarkEnd w:id="479"/>
      <w:r w:rsidR="00ED7EB2">
        <w:rPr>
          <w:rFonts w:asciiTheme="minorHAnsi" w:hAnsiTheme="minorHAnsi"/>
          <w:b/>
          <w:lang w:val="en-US"/>
        </w:rPr>
        <w:t xml:space="preserve"> </w:t>
      </w:r>
    </w:p>
    <w:p w:rsidR="0052673B" w:rsidRPr="0052673B" w:rsidRDefault="00F839DA" w:rsidP="00F00EA5">
      <w:pPr>
        <w:pStyle w:val="RoadefTexte"/>
        <w:tabs>
          <w:tab w:val="left" w:pos="0"/>
        </w:tabs>
        <w:spacing w:after="0" w:line="276" w:lineRule="auto"/>
        <w:ind w:firstLine="0"/>
        <w:rPr>
          <w:rFonts w:asciiTheme="minorHAnsi" w:hAnsiTheme="minorHAnsi"/>
          <w:bCs/>
          <w:iCs/>
          <w:lang w:val="en-US"/>
        </w:rPr>
      </w:pPr>
      <w:r>
        <w:rPr>
          <w:rFonts w:asciiTheme="minorHAnsi" w:hAnsiTheme="minorHAnsi"/>
          <w:lang w:val="en-US"/>
        </w:rPr>
        <w:t>Figure</w:t>
      </w:r>
      <w:r w:rsidR="00616A3F">
        <w:rPr>
          <w:rFonts w:asciiTheme="minorHAnsi" w:hAnsiTheme="minorHAnsi"/>
          <w:lang w:val="en-US"/>
        </w:rPr>
        <w:t xml:space="preserve"> </w:t>
      </w:r>
      <w:r>
        <w:rPr>
          <w:rFonts w:asciiTheme="minorHAnsi" w:hAnsiTheme="minorHAnsi"/>
          <w:lang w:val="en-US"/>
        </w:rPr>
        <w:t>5</w:t>
      </w:r>
      <w:r w:rsidR="00616A3F">
        <w:rPr>
          <w:rFonts w:asciiTheme="minorHAnsi" w:hAnsiTheme="minorHAnsi"/>
          <w:lang w:val="en-US"/>
        </w:rPr>
        <w:t xml:space="preserve"> </w:t>
      </w:r>
      <w:r>
        <w:rPr>
          <w:rFonts w:asciiTheme="minorHAnsi" w:hAnsiTheme="minorHAnsi"/>
          <w:lang w:val="en-US"/>
        </w:rPr>
        <w:t>shows</w:t>
      </w:r>
      <w:r w:rsidR="00A44626" w:rsidRPr="004A786B">
        <w:rPr>
          <w:rFonts w:asciiTheme="minorHAnsi" w:hAnsiTheme="minorHAnsi"/>
          <w:lang w:val="en-US"/>
        </w:rPr>
        <w:t xml:space="preserve"> the </w:t>
      </w:r>
      <w:r w:rsidR="009F37FF" w:rsidRPr="004A786B">
        <w:rPr>
          <w:rFonts w:asciiTheme="minorHAnsi" w:hAnsiTheme="minorHAnsi"/>
          <w:lang w:val="en-US"/>
        </w:rPr>
        <w:t>relative</w:t>
      </w:r>
      <w:r w:rsidR="00F05D50" w:rsidRPr="004A786B">
        <w:rPr>
          <w:rFonts w:asciiTheme="minorHAnsi" w:hAnsiTheme="minorHAnsi"/>
          <w:lang w:val="en-US"/>
        </w:rPr>
        <w:t xml:space="preserve"> performance of the distribution strategies </w:t>
      </w:r>
      <w:r w:rsidR="009F37FF" w:rsidRPr="004A786B">
        <w:rPr>
          <w:rFonts w:asciiTheme="minorHAnsi" w:hAnsiTheme="minorHAnsi"/>
          <w:lang w:val="en-US"/>
        </w:rPr>
        <w:t xml:space="preserve">for </w:t>
      </w:r>
      <w:r w:rsidR="0006102E" w:rsidRPr="004A786B">
        <w:rPr>
          <w:rFonts w:asciiTheme="minorHAnsi" w:hAnsiTheme="minorHAnsi"/>
          <w:lang w:val="en-US"/>
        </w:rPr>
        <w:t xml:space="preserve">the </w:t>
      </w:r>
      <w:r w:rsidR="009F37FF" w:rsidRPr="004A786B">
        <w:rPr>
          <w:rFonts w:asciiTheme="minorHAnsi" w:hAnsiTheme="minorHAnsi"/>
          <w:lang w:val="en-US"/>
        </w:rPr>
        <w:t xml:space="preserve">different </w:t>
      </w:r>
      <w:r w:rsidR="00D9509C" w:rsidRPr="004A786B">
        <w:rPr>
          <w:rFonts w:asciiTheme="minorHAnsi" w:hAnsiTheme="minorHAnsi"/>
          <w:lang w:val="en-US"/>
        </w:rPr>
        <w:t xml:space="preserve">depot </w:t>
      </w:r>
      <w:r w:rsidR="00616A3F">
        <w:rPr>
          <w:rFonts w:asciiTheme="minorHAnsi" w:hAnsiTheme="minorHAnsi"/>
          <w:lang w:val="en-US"/>
        </w:rPr>
        <w:t>levels</w:t>
      </w:r>
      <w:r w:rsidR="00A44626" w:rsidRPr="004A786B">
        <w:rPr>
          <w:rFonts w:asciiTheme="minorHAnsi" w:hAnsiTheme="minorHAnsi"/>
          <w:lang w:val="en-US"/>
        </w:rPr>
        <w:t xml:space="preserve">. </w:t>
      </w:r>
      <w:r w:rsidR="00B31414">
        <w:rPr>
          <w:rFonts w:asciiTheme="minorHAnsi" w:hAnsiTheme="minorHAnsi"/>
          <w:lang w:val="en-US"/>
        </w:rPr>
        <w:t>Overall</w:t>
      </w:r>
      <w:r w:rsidR="005C5AC3" w:rsidRPr="004A786B">
        <w:rPr>
          <w:rFonts w:asciiTheme="minorHAnsi" w:hAnsiTheme="minorHAnsi"/>
          <w:lang w:val="en-US"/>
        </w:rPr>
        <w:t xml:space="preserve">, </w:t>
      </w:r>
      <w:r w:rsidR="00F7124D">
        <w:rPr>
          <w:rFonts w:asciiTheme="minorHAnsi" w:hAnsiTheme="minorHAnsi"/>
          <w:lang w:val="en-US"/>
        </w:rPr>
        <w:t>i</w:t>
      </w:r>
      <w:r w:rsidR="009F37FF" w:rsidRPr="004A786B">
        <w:rPr>
          <w:rFonts w:asciiTheme="minorHAnsi" w:hAnsiTheme="minorHAnsi"/>
          <w:lang w:val="en-US"/>
        </w:rPr>
        <w:t xml:space="preserve">t appears that </w:t>
      </w:r>
      <w:r w:rsidR="00D9509C" w:rsidRPr="004A786B">
        <w:rPr>
          <w:rFonts w:asciiTheme="minorHAnsi" w:hAnsiTheme="minorHAnsi"/>
          <w:lang w:val="en-US"/>
        </w:rPr>
        <w:t xml:space="preserve">locating </w:t>
      </w:r>
      <w:r w:rsidR="009F37FF" w:rsidRPr="004A786B">
        <w:rPr>
          <w:rFonts w:asciiTheme="minorHAnsi" w:hAnsiTheme="minorHAnsi"/>
          <w:lang w:val="en-US"/>
        </w:rPr>
        <w:t xml:space="preserve">the </w:t>
      </w:r>
      <w:r w:rsidR="003A6947" w:rsidRPr="004A786B">
        <w:rPr>
          <w:rFonts w:asciiTheme="minorHAnsi" w:hAnsiTheme="minorHAnsi"/>
          <w:lang w:val="en-US"/>
        </w:rPr>
        <w:t>depot</w:t>
      </w:r>
      <w:r w:rsidR="009F37FF" w:rsidRPr="004A786B">
        <w:rPr>
          <w:rFonts w:asciiTheme="minorHAnsi" w:hAnsiTheme="minorHAnsi"/>
          <w:lang w:val="en-US"/>
        </w:rPr>
        <w:t xml:space="preserve"> at the </w:t>
      </w:r>
      <w:r w:rsidR="00CC2C4A" w:rsidRPr="004A786B">
        <w:rPr>
          <w:rFonts w:asciiTheme="minorHAnsi" w:hAnsiTheme="minorHAnsi"/>
          <w:lang w:val="en-US"/>
        </w:rPr>
        <w:t>center</w:t>
      </w:r>
      <w:r w:rsidR="009F37FF" w:rsidRPr="004A786B">
        <w:rPr>
          <w:rFonts w:asciiTheme="minorHAnsi" w:hAnsiTheme="minorHAnsi"/>
          <w:lang w:val="en-US"/>
        </w:rPr>
        <w:t xml:space="preserve"> of the grid</w:t>
      </w:r>
      <w:r w:rsidR="006F0DE5" w:rsidRPr="004A786B">
        <w:rPr>
          <w:rFonts w:asciiTheme="minorHAnsi" w:hAnsiTheme="minorHAnsi"/>
          <w:lang w:val="en-US"/>
        </w:rPr>
        <w:t xml:space="preserve"> (</w:t>
      </w:r>
      <w:r w:rsidR="00A44626" w:rsidRPr="004A786B">
        <w:rPr>
          <w:rFonts w:asciiTheme="minorHAnsi" w:hAnsiTheme="minorHAnsi"/>
          <w:i/>
          <w:lang w:val="en-US"/>
        </w:rPr>
        <w:t>D1</w:t>
      </w:r>
      <w:r w:rsidR="006F0DE5" w:rsidRPr="004A786B">
        <w:rPr>
          <w:rFonts w:asciiTheme="minorHAnsi" w:hAnsiTheme="minorHAnsi"/>
          <w:lang w:val="en-US"/>
        </w:rPr>
        <w:t>)</w:t>
      </w:r>
      <w:r w:rsidR="009F37FF" w:rsidRPr="004A786B">
        <w:rPr>
          <w:rFonts w:asciiTheme="minorHAnsi" w:hAnsiTheme="minorHAnsi"/>
          <w:lang w:val="en-US"/>
        </w:rPr>
        <w:t xml:space="preserve"> is more beneficial </w:t>
      </w:r>
      <w:r w:rsidR="003D1B5D" w:rsidRPr="004A786B">
        <w:rPr>
          <w:rFonts w:asciiTheme="minorHAnsi" w:hAnsiTheme="minorHAnsi"/>
          <w:lang w:val="en-US"/>
        </w:rPr>
        <w:t xml:space="preserve">for </w:t>
      </w:r>
      <w:r w:rsidR="00A44626" w:rsidRPr="004A786B">
        <w:rPr>
          <w:rFonts w:asciiTheme="minorHAnsi" w:hAnsiTheme="minorHAnsi"/>
          <w:lang w:val="en-US"/>
        </w:rPr>
        <w:t>both</w:t>
      </w:r>
      <w:r w:rsidR="003D1B5D" w:rsidRPr="004A786B">
        <w:rPr>
          <w:rFonts w:asciiTheme="minorHAnsi" w:hAnsiTheme="minorHAnsi"/>
          <w:lang w:val="en-US"/>
        </w:rPr>
        <w:t xml:space="preserve"> strategies</w:t>
      </w:r>
      <w:r w:rsidR="00A44626" w:rsidRPr="004A786B">
        <w:rPr>
          <w:rFonts w:asciiTheme="minorHAnsi" w:hAnsiTheme="minorHAnsi"/>
          <w:lang w:val="en-US"/>
        </w:rPr>
        <w:t>,</w:t>
      </w:r>
      <w:r w:rsidR="00ED7EB2">
        <w:rPr>
          <w:rFonts w:asciiTheme="minorHAnsi" w:hAnsiTheme="minorHAnsi"/>
          <w:lang w:val="en-US"/>
        </w:rPr>
        <w:t xml:space="preserve"> </w:t>
      </w:r>
      <w:r w:rsidR="009F37FF" w:rsidRPr="004A786B">
        <w:rPr>
          <w:rFonts w:asciiTheme="minorHAnsi" w:hAnsiTheme="minorHAnsi"/>
          <w:lang w:val="en-US"/>
        </w:rPr>
        <w:t xml:space="preserve">than </w:t>
      </w:r>
      <w:r w:rsidR="006F0DE5" w:rsidRPr="004A786B">
        <w:rPr>
          <w:rFonts w:asciiTheme="minorHAnsi" w:hAnsiTheme="minorHAnsi"/>
          <w:lang w:val="en-US"/>
        </w:rPr>
        <w:t xml:space="preserve">the case where the </w:t>
      </w:r>
      <w:r w:rsidR="00A44626" w:rsidRPr="004A786B">
        <w:rPr>
          <w:rFonts w:asciiTheme="minorHAnsi" w:hAnsiTheme="minorHAnsi"/>
          <w:lang w:val="en-US"/>
        </w:rPr>
        <w:t>depot</w:t>
      </w:r>
      <w:r w:rsidR="006F0DE5" w:rsidRPr="004A786B">
        <w:rPr>
          <w:rFonts w:asciiTheme="minorHAnsi" w:hAnsiTheme="minorHAnsi"/>
          <w:lang w:val="en-US"/>
        </w:rPr>
        <w:t xml:space="preserve"> is </w:t>
      </w:r>
      <w:r w:rsidR="00552A3C" w:rsidRPr="004A786B">
        <w:rPr>
          <w:rFonts w:asciiTheme="minorHAnsi" w:hAnsiTheme="minorHAnsi"/>
          <w:lang w:val="en-US"/>
        </w:rPr>
        <w:t xml:space="preserve">located further away from the </w:t>
      </w:r>
      <w:r w:rsidR="00CC2C4A" w:rsidRPr="004A786B">
        <w:rPr>
          <w:rFonts w:asciiTheme="minorHAnsi" w:hAnsiTheme="minorHAnsi"/>
          <w:lang w:val="en-US"/>
        </w:rPr>
        <w:t>center</w:t>
      </w:r>
      <w:bookmarkStart w:id="488" w:name="OLE_LINK182"/>
      <w:bookmarkStart w:id="489" w:name="OLE_LINK183"/>
      <w:bookmarkStart w:id="490" w:name="OLE_LINK204"/>
      <w:bookmarkStart w:id="491" w:name="OLE_LINK902"/>
      <w:bookmarkStart w:id="492" w:name="OLE_LINK903"/>
      <w:bookmarkStart w:id="493" w:name="OLE_LINK904"/>
      <w:r w:rsidR="00A44626" w:rsidRPr="004A786B">
        <w:rPr>
          <w:rFonts w:asciiTheme="minorHAnsi" w:hAnsiTheme="minorHAnsi"/>
          <w:lang w:val="en-US"/>
        </w:rPr>
        <w:t xml:space="preserve"> of the grid</w:t>
      </w:r>
      <w:bookmarkEnd w:id="488"/>
      <w:bookmarkEnd w:id="489"/>
      <w:bookmarkEnd w:id="490"/>
      <w:r w:rsidR="00B7436F" w:rsidRPr="004A786B">
        <w:rPr>
          <w:rFonts w:asciiTheme="minorHAnsi" w:hAnsiTheme="minorHAnsi"/>
          <w:lang w:val="en-US"/>
        </w:rPr>
        <w:t xml:space="preserve">. </w:t>
      </w:r>
      <w:bookmarkEnd w:id="491"/>
      <w:bookmarkEnd w:id="492"/>
      <w:bookmarkEnd w:id="493"/>
      <w:r w:rsidR="00A44626" w:rsidRPr="004A786B">
        <w:rPr>
          <w:rFonts w:asciiTheme="minorHAnsi" w:hAnsiTheme="minorHAnsi"/>
          <w:lang w:val="en-US"/>
        </w:rPr>
        <w:t>A</w:t>
      </w:r>
      <w:r w:rsidR="00CC2C4A" w:rsidRPr="004A786B">
        <w:rPr>
          <w:rFonts w:asciiTheme="minorHAnsi" w:hAnsiTheme="minorHAnsi"/>
          <w:lang w:val="en-US"/>
        </w:rPr>
        <w:t>n unfavorable position of the</w:t>
      </w:r>
      <w:r w:rsidR="00ED7EB2">
        <w:rPr>
          <w:rFonts w:asciiTheme="minorHAnsi" w:hAnsiTheme="minorHAnsi"/>
          <w:lang w:val="en-US"/>
        </w:rPr>
        <w:t xml:space="preserve"> </w:t>
      </w:r>
      <w:r w:rsidR="003A6947" w:rsidRPr="004A786B">
        <w:rPr>
          <w:rFonts w:asciiTheme="minorHAnsi" w:hAnsiTheme="minorHAnsi"/>
          <w:lang w:val="en-US"/>
        </w:rPr>
        <w:t>depot</w:t>
      </w:r>
      <w:r w:rsidR="00CC2C4A" w:rsidRPr="004A786B">
        <w:rPr>
          <w:rFonts w:asciiTheme="minorHAnsi" w:hAnsiTheme="minorHAnsi"/>
          <w:lang w:val="en-US"/>
        </w:rPr>
        <w:t xml:space="preserve"> away from the center of the supplier-customer area (</w:t>
      </w:r>
      <w:r w:rsidR="00A44626" w:rsidRPr="004A786B">
        <w:rPr>
          <w:rFonts w:asciiTheme="minorHAnsi" w:hAnsiTheme="minorHAnsi"/>
          <w:lang w:val="en-US"/>
        </w:rPr>
        <w:t xml:space="preserve">see </w:t>
      </w:r>
      <w:r w:rsidR="00D9509C" w:rsidRPr="004A786B">
        <w:rPr>
          <w:rFonts w:asciiTheme="minorHAnsi" w:hAnsiTheme="minorHAnsi"/>
          <w:i/>
          <w:lang w:val="en-US"/>
        </w:rPr>
        <w:t>D2</w:t>
      </w:r>
      <w:r w:rsidR="00A44626" w:rsidRPr="004A786B">
        <w:rPr>
          <w:rFonts w:asciiTheme="minorHAnsi" w:hAnsiTheme="minorHAnsi"/>
          <w:i/>
          <w:lang w:val="en-US"/>
        </w:rPr>
        <w:t xml:space="preserve"> and D3</w:t>
      </w:r>
      <w:r w:rsidR="00CC2C4A" w:rsidRPr="004A786B">
        <w:rPr>
          <w:rFonts w:asciiTheme="minorHAnsi" w:hAnsiTheme="minorHAnsi"/>
          <w:lang w:val="en-US"/>
        </w:rPr>
        <w:t xml:space="preserve">), can substantially increase routing costs for both </w:t>
      </w:r>
      <w:r w:rsidR="003D1B5D" w:rsidRPr="004A786B">
        <w:rPr>
          <w:rFonts w:asciiTheme="minorHAnsi" w:hAnsiTheme="minorHAnsi"/>
          <w:lang w:val="en-US"/>
        </w:rPr>
        <w:t>the PDP and VRPCD</w:t>
      </w:r>
      <w:r w:rsidR="00A44626" w:rsidRPr="004A786B">
        <w:rPr>
          <w:rFonts w:asciiTheme="minorHAnsi" w:hAnsiTheme="minorHAnsi"/>
          <w:lang w:val="en-US"/>
        </w:rPr>
        <w:t>; however</w:t>
      </w:r>
      <w:r w:rsidR="00CC2C4A" w:rsidRPr="004A786B">
        <w:rPr>
          <w:rFonts w:asciiTheme="minorHAnsi" w:hAnsiTheme="minorHAnsi"/>
          <w:lang w:val="en-US"/>
        </w:rPr>
        <w:t xml:space="preserve">, the performance of the </w:t>
      </w:r>
      <w:r w:rsidR="00632686">
        <w:rPr>
          <w:rFonts w:asciiTheme="minorHAnsi" w:hAnsiTheme="minorHAnsi"/>
          <w:lang w:val="en-US"/>
        </w:rPr>
        <w:t>cross-docking strategy</w:t>
      </w:r>
      <w:r w:rsidR="00AB1DBD" w:rsidRPr="004A786B">
        <w:rPr>
          <w:rFonts w:asciiTheme="minorHAnsi" w:hAnsiTheme="minorHAnsi"/>
          <w:lang w:val="en-US"/>
        </w:rPr>
        <w:t xml:space="preserve"> is more affected </w:t>
      </w:r>
      <w:r w:rsidR="00A44626" w:rsidRPr="004A786B">
        <w:rPr>
          <w:rFonts w:asciiTheme="minorHAnsi" w:hAnsiTheme="minorHAnsi"/>
          <w:lang w:val="en-US"/>
        </w:rPr>
        <w:t xml:space="preserve">compared to </w:t>
      </w:r>
      <w:r w:rsidR="00AB1DBD" w:rsidRPr="004A786B">
        <w:rPr>
          <w:rFonts w:asciiTheme="minorHAnsi" w:hAnsiTheme="minorHAnsi"/>
          <w:lang w:val="en-US"/>
        </w:rPr>
        <w:t xml:space="preserve">the </w:t>
      </w:r>
      <w:r w:rsidR="00632686">
        <w:rPr>
          <w:rFonts w:asciiTheme="minorHAnsi" w:hAnsiTheme="minorHAnsi"/>
          <w:lang w:val="en-US"/>
        </w:rPr>
        <w:t>direct shipping strategy</w:t>
      </w:r>
      <w:r w:rsidR="00AB1DBD" w:rsidRPr="004A786B">
        <w:rPr>
          <w:rFonts w:asciiTheme="minorHAnsi" w:hAnsiTheme="minorHAnsi"/>
          <w:lang w:val="en-US"/>
        </w:rPr>
        <w:t xml:space="preserve">. </w:t>
      </w:r>
      <w:bookmarkStart w:id="494" w:name="OLE_LINK290"/>
      <w:r w:rsidR="00927AB4">
        <w:rPr>
          <w:rFonts w:asciiTheme="minorHAnsi" w:hAnsiTheme="minorHAnsi"/>
          <w:lang w:val="en-US"/>
        </w:rPr>
        <w:t xml:space="preserve">In fact, moving from </w:t>
      </w:r>
      <w:r w:rsidR="00927AB4">
        <w:rPr>
          <w:rFonts w:asciiTheme="minorHAnsi" w:hAnsiTheme="minorHAnsi"/>
          <w:i/>
          <w:lang w:val="en-US"/>
        </w:rPr>
        <w:t>D</w:t>
      </w:r>
      <w:r w:rsidR="00927AB4" w:rsidRPr="00921756">
        <w:rPr>
          <w:rFonts w:asciiTheme="minorHAnsi" w:hAnsiTheme="minorHAnsi"/>
          <w:i/>
          <w:lang w:val="en-US"/>
        </w:rPr>
        <w:t>1</w:t>
      </w:r>
      <w:r w:rsidR="00927AB4">
        <w:rPr>
          <w:rFonts w:asciiTheme="minorHAnsi" w:hAnsiTheme="minorHAnsi"/>
          <w:lang w:val="en-US"/>
        </w:rPr>
        <w:t xml:space="preserve"> to </w:t>
      </w:r>
      <w:r w:rsidR="00927AB4">
        <w:rPr>
          <w:rFonts w:asciiTheme="minorHAnsi" w:hAnsiTheme="minorHAnsi"/>
          <w:i/>
          <w:lang w:val="en-US"/>
        </w:rPr>
        <w:t>D</w:t>
      </w:r>
      <w:r w:rsidR="00927AB4" w:rsidRPr="00921756">
        <w:rPr>
          <w:rFonts w:asciiTheme="minorHAnsi" w:hAnsiTheme="minorHAnsi"/>
          <w:i/>
          <w:lang w:val="en-US"/>
        </w:rPr>
        <w:t>3</w:t>
      </w:r>
      <w:r w:rsidR="00927AB4">
        <w:rPr>
          <w:rFonts w:asciiTheme="minorHAnsi" w:hAnsiTheme="minorHAnsi"/>
          <w:lang w:val="en-US"/>
        </w:rPr>
        <w:t xml:space="preserve"> we observe </w:t>
      </w:r>
      <w:r w:rsidR="00EE1FB0">
        <w:rPr>
          <w:rFonts w:asciiTheme="minorHAnsi" w:hAnsiTheme="minorHAnsi"/>
          <w:lang w:val="en-US"/>
        </w:rPr>
        <w:t>2.31</w:t>
      </w:r>
      <w:r w:rsidR="00927AB4" w:rsidRPr="00A620E5">
        <w:rPr>
          <w:rFonts w:asciiTheme="minorHAnsi" w:hAnsiTheme="minorHAnsi"/>
          <w:lang w:val="en-US"/>
        </w:rPr>
        <w:t xml:space="preserve">% </w:t>
      </w:r>
      <w:r w:rsidR="00927AB4">
        <w:rPr>
          <w:rFonts w:asciiTheme="minorHAnsi" w:hAnsiTheme="minorHAnsi"/>
          <w:lang w:val="en-US"/>
        </w:rPr>
        <w:t>increase</w:t>
      </w:r>
      <w:r w:rsidR="00927AB4" w:rsidRPr="00A620E5">
        <w:rPr>
          <w:rFonts w:asciiTheme="minorHAnsi" w:hAnsiTheme="minorHAnsi"/>
          <w:lang w:val="en-US"/>
        </w:rPr>
        <w:t xml:space="preserve"> on transportation costs for the </w:t>
      </w:r>
      <w:r w:rsidR="00632686">
        <w:rPr>
          <w:rFonts w:asciiTheme="minorHAnsi" w:hAnsiTheme="minorHAnsi"/>
          <w:lang w:val="en-US"/>
        </w:rPr>
        <w:t>PDP</w:t>
      </w:r>
      <w:r w:rsidR="00927AB4" w:rsidRPr="00A620E5">
        <w:rPr>
          <w:rFonts w:asciiTheme="minorHAnsi" w:hAnsiTheme="minorHAnsi"/>
          <w:lang w:val="en-US"/>
        </w:rPr>
        <w:t xml:space="preserve"> (</w:t>
      </w:r>
      <w:r w:rsidR="00927AB4">
        <w:rPr>
          <w:rFonts w:asciiTheme="minorHAnsi" w:hAnsiTheme="minorHAnsi"/>
          <w:lang w:val="en-US"/>
        </w:rPr>
        <w:t xml:space="preserve">i.e., </w:t>
      </w:r>
      <w:r w:rsidR="00927AB4" w:rsidRPr="00A620E5">
        <w:rPr>
          <w:rFonts w:asciiTheme="minorHAnsi" w:hAnsiTheme="minorHAnsi"/>
          <w:lang w:val="en-US"/>
        </w:rPr>
        <w:t xml:space="preserve">from </w:t>
      </w:r>
      <w:r w:rsidR="00EE1FB0">
        <w:rPr>
          <w:rFonts w:asciiTheme="minorHAnsi" w:hAnsiTheme="minorHAnsi"/>
          <w:lang w:val="en-US"/>
        </w:rPr>
        <w:t>672.78</w:t>
      </w:r>
      <w:r w:rsidR="00ED7EB2">
        <w:rPr>
          <w:rFonts w:asciiTheme="minorHAnsi" w:hAnsiTheme="minorHAnsi"/>
          <w:lang w:val="en-US"/>
        </w:rPr>
        <w:t xml:space="preserve"> </w:t>
      </w:r>
      <w:r w:rsidR="00927AB4" w:rsidRPr="00A620E5">
        <w:rPr>
          <w:rFonts w:asciiTheme="minorHAnsi" w:hAnsiTheme="minorHAnsi"/>
          <w:lang w:val="en-US"/>
        </w:rPr>
        <w:t>to</w:t>
      </w:r>
      <w:r w:rsidR="008D4BD5">
        <w:rPr>
          <w:rFonts w:asciiTheme="minorHAnsi" w:hAnsiTheme="minorHAnsi"/>
          <w:lang w:val="en-US"/>
        </w:rPr>
        <w:t xml:space="preserve"> 68</w:t>
      </w:r>
      <w:r w:rsidR="00EE1FB0">
        <w:rPr>
          <w:rFonts w:asciiTheme="minorHAnsi" w:hAnsiTheme="minorHAnsi"/>
          <w:lang w:val="en-US"/>
        </w:rPr>
        <w:t>8</w:t>
      </w:r>
      <w:r w:rsidR="008D4BD5">
        <w:rPr>
          <w:rFonts w:asciiTheme="minorHAnsi" w:hAnsiTheme="minorHAnsi"/>
          <w:lang w:val="en-US"/>
        </w:rPr>
        <w:t>.</w:t>
      </w:r>
      <w:r w:rsidR="00EE1FB0">
        <w:rPr>
          <w:rFonts w:asciiTheme="minorHAnsi" w:hAnsiTheme="minorHAnsi"/>
          <w:lang w:val="en-US"/>
        </w:rPr>
        <w:t>3</w:t>
      </w:r>
      <w:r w:rsidR="008D4BD5">
        <w:rPr>
          <w:rFonts w:asciiTheme="minorHAnsi" w:hAnsiTheme="minorHAnsi"/>
          <w:lang w:val="en-US"/>
        </w:rPr>
        <w:t>2</w:t>
      </w:r>
      <w:r w:rsidR="00927AB4" w:rsidRPr="00A620E5">
        <w:rPr>
          <w:rFonts w:asciiTheme="minorHAnsi" w:hAnsiTheme="minorHAnsi"/>
          <w:lang w:val="en-US"/>
        </w:rPr>
        <w:t xml:space="preserve">), while the corresponding </w:t>
      </w:r>
      <w:r w:rsidR="00927AB4">
        <w:rPr>
          <w:rFonts w:asciiTheme="minorHAnsi" w:hAnsiTheme="minorHAnsi"/>
          <w:lang w:val="en-US"/>
        </w:rPr>
        <w:t>increase</w:t>
      </w:r>
      <w:r w:rsidR="00927AB4" w:rsidRPr="00A620E5">
        <w:rPr>
          <w:rFonts w:asciiTheme="minorHAnsi" w:hAnsiTheme="minorHAnsi"/>
          <w:lang w:val="en-US"/>
        </w:rPr>
        <w:t xml:space="preserve"> on transportation costs for the VRPCD is </w:t>
      </w:r>
      <w:r w:rsidR="005F5ADD">
        <w:rPr>
          <w:rFonts w:asciiTheme="minorHAnsi" w:hAnsiTheme="minorHAnsi"/>
          <w:lang w:val="en-US"/>
        </w:rPr>
        <w:t>1</w:t>
      </w:r>
      <w:r w:rsidR="00EE1FB0">
        <w:rPr>
          <w:rFonts w:asciiTheme="minorHAnsi" w:hAnsiTheme="minorHAnsi"/>
          <w:lang w:val="en-US"/>
        </w:rPr>
        <w:t>5</w:t>
      </w:r>
      <w:r w:rsidR="005F5ADD">
        <w:rPr>
          <w:rFonts w:asciiTheme="minorHAnsi" w:hAnsiTheme="minorHAnsi"/>
          <w:lang w:val="en-US"/>
        </w:rPr>
        <w:t>.</w:t>
      </w:r>
      <w:r w:rsidR="00EE1FB0">
        <w:rPr>
          <w:rFonts w:asciiTheme="minorHAnsi" w:hAnsiTheme="minorHAnsi"/>
          <w:lang w:val="en-US"/>
        </w:rPr>
        <w:t>6</w:t>
      </w:r>
      <w:r w:rsidR="005F5ADD">
        <w:rPr>
          <w:rFonts w:asciiTheme="minorHAnsi" w:hAnsiTheme="minorHAnsi"/>
          <w:lang w:val="en-US"/>
        </w:rPr>
        <w:t>2</w:t>
      </w:r>
      <w:r w:rsidR="00F17D73">
        <w:rPr>
          <w:rFonts w:asciiTheme="minorHAnsi" w:hAnsiTheme="minorHAnsi"/>
          <w:lang w:val="en-US"/>
        </w:rPr>
        <w:t>%</w:t>
      </w:r>
      <w:r w:rsidR="00927AB4" w:rsidRPr="00A620E5">
        <w:rPr>
          <w:rFonts w:asciiTheme="minorHAnsi" w:hAnsiTheme="minorHAnsi"/>
          <w:lang w:val="en-US"/>
        </w:rPr>
        <w:t xml:space="preserve"> (</w:t>
      </w:r>
      <w:r w:rsidR="00927AB4">
        <w:rPr>
          <w:rFonts w:asciiTheme="minorHAnsi" w:hAnsiTheme="minorHAnsi"/>
          <w:lang w:val="en-US"/>
        </w:rPr>
        <w:t xml:space="preserve">i.e., </w:t>
      </w:r>
      <w:r w:rsidR="00927AB4" w:rsidRPr="00A620E5">
        <w:rPr>
          <w:rFonts w:asciiTheme="minorHAnsi" w:hAnsiTheme="minorHAnsi"/>
          <w:lang w:val="en-US"/>
        </w:rPr>
        <w:t xml:space="preserve">from </w:t>
      </w:r>
      <w:r w:rsidR="008D4BD5">
        <w:rPr>
          <w:rFonts w:asciiTheme="minorHAnsi" w:hAnsiTheme="minorHAnsi"/>
          <w:lang w:val="en-US"/>
        </w:rPr>
        <w:t>84</w:t>
      </w:r>
      <w:r w:rsidR="00EE1FB0">
        <w:rPr>
          <w:rFonts w:asciiTheme="minorHAnsi" w:hAnsiTheme="minorHAnsi"/>
          <w:lang w:val="en-US"/>
        </w:rPr>
        <w:t>1</w:t>
      </w:r>
      <w:r w:rsidR="008D4BD5">
        <w:rPr>
          <w:rFonts w:asciiTheme="minorHAnsi" w:hAnsiTheme="minorHAnsi"/>
          <w:lang w:val="en-US"/>
        </w:rPr>
        <w:t>.</w:t>
      </w:r>
      <w:r w:rsidR="00EE1FB0">
        <w:rPr>
          <w:rFonts w:asciiTheme="minorHAnsi" w:hAnsiTheme="minorHAnsi"/>
          <w:lang w:val="en-US"/>
        </w:rPr>
        <w:t>21</w:t>
      </w:r>
      <w:r w:rsidR="005459F6">
        <w:rPr>
          <w:rFonts w:asciiTheme="minorHAnsi" w:hAnsiTheme="minorHAnsi"/>
          <w:lang w:val="en-US"/>
        </w:rPr>
        <w:t xml:space="preserve"> </w:t>
      </w:r>
      <w:r w:rsidR="00927AB4" w:rsidRPr="00A620E5">
        <w:rPr>
          <w:rFonts w:asciiTheme="minorHAnsi" w:hAnsiTheme="minorHAnsi"/>
          <w:lang w:val="en-US"/>
        </w:rPr>
        <w:t xml:space="preserve">to </w:t>
      </w:r>
      <w:r w:rsidR="008D4BD5">
        <w:rPr>
          <w:rFonts w:asciiTheme="minorHAnsi" w:hAnsiTheme="minorHAnsi"/>
          <w:lang w:val="en-US"/>
        </w:rPr>
        <w:t>97</w:t>
      </w:r>
      <w:r w:rsidR="00EE1FB0">
        <w:rPr>
          <w:rFonts w:asciiTheme="minorHAnsi" w:hAnsiTheme="minorHAnsi"/>
          <w:lang w:val="en-US"/>
        </w:rPr>
        <w:t>2</w:t>
      </w:r>
      <w:r w:rsidR="008D4BD5">
        <w:rPr>
          <w:rFonts w:asciiTheme="minorHAnsi" w:hAnsiTheme="minorHAnsi"/>
          <w:lang w:val="en-US"/>
        </w:rPr>
        <w:t>.</w:t>
      </w:r>
      <w:r w:rsidR="00EE1FB0">
        <w:rPr>
          <w:rFonts w:asciiTheme="minorHAnsi" w:hAnsiTheme="minorHAnsi"/>
          <w:lang w:val="en-US"/>
        </w:rPr>
        <w:t>5</w:t>
      </w:r>
      <w:r w:rsidR="008D4BD5">
        <w:rPr>
          <w:rFonts w:asciiTheme="minorHAnsi" w:hAnsiTheme="minorHAnsi"/>
          <w:lang w:val="en-US"/>
        </w:rPr>
        <w:t>7</w:t>
      </w:r>
      <w:r w:rsidR="00927AB4" w:rsidRPr="00A620E5">
        <w:rPr>
          <w:rFonts w:asciiTheme="minorHAnsi" w:hAnsiTheme="minorHAnsi"/>
          <w:lang w:val="en-US"/>
        </w:rPr>
        <w:t>)</w:t>
      </w:r>
      <w:r w:rsidR="00EE1C32">
        <w:rPr>
          <w:rFonts w:asciiTheme="minorHAnsi" w:hAnsiTheme="minorHAnsi"/>
          <w:lang w:val="en-US"/>
        </w:rPr>
        <w:t xml:space="preserve">. </w:t>
      </w:r>
      <w:r w:rsidR="00C211CA" w:rsidRPr="004A786B">
        <w:rPr>
          <w:rFonts w:ascii="Calibri" w:hAnsi="Calibri" w:cs="Calibri"/>
        </w:rPr>
        <w:t xml:space="preserve">This </w:t>
      </w:r>
      <w:r w:rsidR="00F17D73">
        <w:rPr>
          <w:rFonts w:ascii="Calibri" w:hAnsi="Calibri" w:cs="Calibri"/>
          <w:lang w:val="en-US"/>
        </w:rPr>
        <w:t>behavior stems from</w:t>
      </w:r>
      <w:r w:rsidR="00C211CA" w:rsidRPr="004A786B">
        <w:rPr>
          <w:rFonts w:ascii="Calibri" w:hAnsi="Calibri" w:cs="Calibri"/>
          <w:lang w:val="en-US"/>
        </w:rPr>
        <w:t xml:space="preserve"> </w:t>
      </w:r>
      <w:r w:rsidR="00F17D73">
        <w:rPr>
          <w:rFonts w:ascii="Calibri" w:hAnsi="Calibri" w:cs="Calibri"/>
          <w:lang w:val="en-US"/>
        </w:rPr>
        <w:t xml:space="preserve">the </w:t>
      </w:r>
      <w:r w:rsidR="00C211CA" w:rsidRPr="004A786B">
        <w:rPr>
          <w:rFonts w:ascii="Calibri" w:hAnsi="Calibri" w:cs="Calibri"/>
          <w:lang w:val="en-US"/>
        </w:rPr>
        <w:t>fact that</w:t>
      </w:r>
      <w:r w:rsidR="00ED7EB2">
        <w:rPr>
          <w:rFonts w:ascii="Calibri" w:hAnsi="Calibri" w:cs="Calibri"/>
          <w:lang w:val="en-US"/>
        </w:rPr>
        <w:t xml:space="preserve"> </w:t>
      </w:r>
      <w:r w:rsidR="00F17D73">
        <w:rPr>
          <w:rFonts w:asciiTheme="minorHAnsi" w:hAnsiTheme="minorHAnsi"/>
          <w:lang w:val="en-US"/>
        </w:rPr>
        <w:t>under the</w:t>
      </w:r>
      <w:r w:rsidR="00D9509C" w:rsidRPr="004A786B">
        <w:rPr>
          <w:rFonts w:asciiTheme="minorHAnsi" w:hAnsiTheme="minorHAnsi"/>
          <w:lang w:val="en-US"/>
        </w:rPr>
        <w:t xml:space="preserve"> cross-docking strategy</w:t>
      </w:r>
      <w:r w:rsidR="00F17D73">
        <w:rPr>
          <w:rFonts w:asciiTheme="minorHAnsi" w:hAnsiTheme="minorHAnsi"/>
          <w:lang w:val="en-US"/>
        </w:rPr>
        <w:t>,</w:t>
      </w:r>
      <w:r w:rsidR="00D9509C" w:rsidRPr="004A786B">
        <w:rPr>
          <w:rFonts w:asciiTheme="minorHAnsi" w:hAnsiTheme="minorHAnsi"/>
          <w:lang w:val="en-US"/>
        </w:rPr>
        <w:t xml:space="preserve"> </w:t>
      </w:r>
      <w:r w:rsidR="00CC2C4A" w:rsidRPr="004A786B">
        <w:rPr>
          <w:rFonts w:asciiTheme="minorHAnsi" w:hAnsiTheme="minorHAnsi"/>
          <w:lang w:val="en-US"/>
        </w:rPr>
        <w:t>we have to travel depot</w:t>
      </w:r>
      <w:r w:rsidR="00F17D73">
        <w:rPr>
          <w:rFonts w:asciiTheme="minorHAnsi" w:hAnsiTheme="minorHAnsi"/>
          <w:lang w:val="en-US"/>
        </w:rPr>
        <w:t>-</w:t>
      </w:r>
      <w:r w:rsidR="00CC2C4A" w:rsidRPr="004A786B">
        <w:rPr>
          <w:rFonts w:asciiTheme="minorHAnsi" w:hAnsiTheme="minorHAnsi"/>
          <w:lang w:val="en-US"/>
        </w:rPr>
        <w:t>adjacent arcs for both</w:t>
      </w:r>
      <w:r w:rsidR="00F17D73">
        <w:rPr>
          <w:rFonts w:asciiTheme="minorHAnsi" w:hAnsiTheme="minorHAnsi"/>
          <w:lang w:val="en-US"/>
        </w:rPr>
        <w:t xml:space="preserve"> levels of</w:t>
      </w:r>
      <w:r w:rsidR="00CC2C4A" w:rsidRPr="004A786B">
        <w:rPr>
          <w:rFonts w:asciiTheme="minorHAnsi" w:hAnsiTheme="minorHAnsi"/>
          <w:lang w:val="en-US"/>
        </w:rPr>
        <w:t xml:space="preserve"> </w:t>
      </w:r>
      <w:r w:rsidR="00210395">
        <w:rPr>
          <w:rFonts w:asciiTheme="minorHAnsi" w:hAnsiTheme="minorHAnsi"/>
          <w:lang w:val="en-US"/>
        </w:rPr>
        <w:t>transportation (</w:t>
      </w:r>
      <w:r w:rsidR="00CC2C4A" w:rsidRPr="004A786B">
        <w:rPr>
          <w:rFonts w:asciiTheme="minorHAnsi" w:hAnsiTheme="minorHAnsi"/>
          <w:lang w:val="en-US"/>
        </w:rPr>
        <w:t xml:space="preserve">pickup and delivery </w:t>
      </w:r>
      <w:r w:rsidR="00210395">
        <w:rPr>
          <w:rFonts w:asciiTheme="minorHAnsi" w:hAnsiTheme="minorHAnsi"/>
          <w:lang w:val="en-US"/>
        </w:rPr>
        <w:t>vehicle trips)</w:t>
      </w:r>
      <w:r w:rsidR="00CC2C4A" w:rsidRPr="004A786B">
        <w:rPr>
          <w:rFonts w:asciiTheme="minorHAnsi" w:hAnsiTheme="minorHAnsi"/>
          <w:lang w:val="en-US"/>
        </w:rPr>
        <w:t>.</w:t>
      </w:r>
      <w:bookmarkEnd w:id="480"/>
      <w:bookmarkEnd w:id="481"/>
      <w:r w:rsidR="00ED7EB2">
        <w:rPr>
          <w:rFonts w:asciiTheme="minorHAnsi" w:hAnsiTheme="minorHAnsi"/>
          <w:lang w:val="en-US"/>
        </w:rPr>
        <w:t xml:space="preserve"> </w:t>
      </w:r>
      <w:r w:rsidR="00A750B0">
        <w:rPr>
          <w:rFonts w:asciiTheme="minorHAnsi" w:hAnsiTheme="minorHAnsi"/>
          <w:lang w:val="en-US"/>
        </w:rPr>
        <w:t>In</w:t>
      </w:r>
      <w:r w:rsidR="00087E31">
        <w:rPr>
          <w:rFonts w:asciiTheme="minorHAnsi" w:hAnsiTheme="minorHAnsi"/>
          <w:lang w:val="en-US"/>
        </w:rPr>
        <w:t xml:space="preserve"> particular, the </w:t>
      </w:r>
      <w:bookmarkStart w:id="495" w:name="OLE_LINK153"/>
      <w:bookmarkStart w:id="496" w:name="OLE_LINK154"/>
      <w:r w:rsidR="00087E31" w:rsidRPr="006D505C">
        <w:rPr>
          <w:rFonts w:asciiTheme="minorHAnsi" w:hAnsiTheme="minorHAnsi"/>
          <w:bCs/>
          <w:i/>
          <w:iCs/>
          <w:lang w:val="en-US"/>
        </w:rPr>
        <w:t>λ</w:t>
      </w:r>
      <w:bookmarkEnd w:id="495"/>
      <w:bookmarkEnd w:id="496"/>
      <w:r w:rsidR="0073330E">
        <w:rPr>
          <w:rFonts w:asciiTheme="minorHAnsi" w:hAnsiTheme="minorHAnsi"/>
          <w:bCs/>
          <w:i/>
          <w:iCs/>
          <w:vertAlign w:val="subscript"/>
          <w:lang w:val="en-US"/>
        </w:rPr>
        <w:t xml:space="preserve"> </w:t>
      </w:r>
      <w:r w:rsidR="00087E31" w:rsidRPr="006D505C">
        <w:rPr>
          <w:rFonts w:asciiTheme="minorHAnsi" w:hAnsiTheme="minorHAnsi"/>
          <w:bCs/>
          <w:iCs/>
          <w:lang w:val="en-US"/>
        </w:rPr>
        <w:t>ratio</w:t>
      </w:r>
      <w:r w:rsidR="00087E31">
        <w:rPr>
          <w:rFonts w:asciiTheme="minorHAnsi" w:hAnsiTheme="minorHAnsi"/>
          <w:bCs/>
          <w:iCs/>
          <w:lang w:val="en-US"/>
        </w:rPr>
        <w:t xml:space="preserve"> is reduced by </w:t>
      </w:r>
      <w:r w:rsidR="006674D1">
        <w:rPr>
          <w:rFonts w:asciiTheme="minorHAnsi" w:hAnsiTheme="minorHAnsi"/>
          <w:bCs/>
          <w:iCs/>
          <w:lang w:val="en-US"/>
        </w:rPr>
        <w:t>10%</w:t>
      </w:r>
      <w:r w:rsidR="00087E31">
        <w:rPr>
          <w:rFonts w:asciiTheme="minorHAnsi" w:hAnsiTheme="minorHAnsi"/>
          <w:bCs/>
          <w:iCs/>
          <w:lang w:val="en-US"/>
        </w:rPr>
        <w:t xml:space="preserve"> when moving from the</w:t>
      </w:r>
      <w:r w:rsidR="00087E31" w:rsidRPr="00EE0DF4">
        <w:rPr>
          <w:rFonts w:asciiTheme="minorHAnsi" w:hAnsiTheme="minorHAnsi"/>
          <w:bCs/>
          <w:i/>
          <w:iCs/>
          <w:lang w:val="en-US"/>
        </w:rPr>
        <w:t xml:space="preserve"> D1</w:t>
      </w:r>
      <w:r w:rsidR="00087E31">
        <w:rPr>
          <w:rFonts w:asciiTheme="minorHAnsi" w:hAnsiTheme="minorHAnsi"/>
          <w:bCs/>
          <w:iCs/>
          <w:lang w:val="en-US"/>
        </w:rPr>
        <w:t xml:space="preserve"> to </w:t>
      </w:r>
      <w:r w:rsidR="00087E31" w:rsidRPr="00EE0DF4">
        <w:rPr>
          <w:rFonts w:asciiTheme="minorHAnsi" w:hAnsiTheme="minorHAnsi"/>
          <w:bCs/>
          <w:i/>
          <w:iCs/>
          <w:lang w:val="en-US"/>
        </w:rPr>
        <w:t>D3</w:t>
      </w:r>
      <w:r w:rsidR="00087E31">
        <w:rPr>
          <w:rFonts w:asciiTheme="minorHAnsi" w:hAnsiTheme="minorHAnsi"/>
          <w:bCs/>
          <w:iCs/>
          <w:lang w:val="en-US"/>
        </w:rPr>
        <w:t xml:space="preserve"> configuration</w:t>
      </w:r>
      <w:r w:rsidR="007B48A7">
        <w:rPr>
          <w:rFonts w:asciiTheme="minorHAnsi" w:hAnsiTheme="minorHAnsi"/>
          <w:bCs/>
          <w:iCs/>
          <w:lang w:val="en-US"/>
        </w:rPr>
        <w:t xml:space="preserve"> (</w:t>
      </w:r>
      <w:bookmarkStart w:id="497" w:name="OLE_LINK268"/>
      <w:bookmarkStart w:id="498" w:name="OLE_LINK269"/>
      <w:bookmarkStart w:id="499" w:name="OLE_LINK270"/>
      <w:r w:rsidR="007B48A7" w:rsidRPr="00EE0DF4">
        <w:rPr>
          <w:rFonts w:asciiTheme="minorHAnsi" w:hAnsiTheme="minorHAnsi"/>
          <w:bCs/>
          <w:i/>
          <w:iCs/>
          <w:lang w:val="en-US"/>
        </w:rPr>
        <w:t>D1</w:t>
      </w:r>
      <w:r w:rsidR="007B48A7">
        <w:rPr>
          <w:rFonts w:asciiTheme="minorHAnsi" w:hAnsiTheme="minorHAnsi"/>
          <w:bCs/>
          <w:iCs/>
          <w:lang w:val="en-US"/>
        </w:rPr>
        <w:t xml:space="preserve">: </w:t>
      </w:r>
      <w:r w:rsidR="007B48A7" w:rsidRPr="006D505C">
        <w:rPr>
          <w:rFonts w:asciiTheme="minorHAnsi" w:hAnsiTheme="minorHAnsi"/>
          <w:bCs/>
          <w:i/>
          <w:iCs/>
          <w:lang w:val="en-US"/>
        </w:rPr>
        <w:t>λ</w:t>
      </w:r>
      <w:r w:rsidR="007B48A7" w:rsidRPr="007B48A7">
        <w:rPr>
          <w:rFonts w:asciiTheme="minorHAnsi" w:hAnsiTheme="minorHAnsi"/>
          <w:bCs/>
          <w:iCs/>
          <w:lang w:val="en-US"/>
        </w:rPr>
        <w:t xml:space="preserve"> = </w:t>
      </w:r>
      <w:bookmarkEnd w:id="497"/>
      <w:bookmarkEnd w:id="498"/>
      <w:bookmarkEnd w:id="499"/>
      <w:r w:rsidR="006674D1">
        <w:rPr>
          <w:rFonts w:asciiTheme="minorHAnsi" w:hAnsiTheme="minorHAnsi"/>
          <w:bCs/>
          <w:iCs/>
          <w:lang w:val="en-US"/>
        </w:rPr>
        <w:t>0.82</w:t>
      </w:r>
      <w:r w:rsidR="007B48A7">
        <w:rPr>
          <w:rFonts w:asciiTheme="minorHAnsi" w:hAnsiTheme="minorHAnsi"/>
          <w:bCs/>
          <w:i/>
          <w:iCs/>
          <w:lang w:val="en-US"/>
        </w:rPr>
        <w:t xml:space="preserve">, </w:t>
      </w:r>
      <w:r w:rsidR="007B48A7" w:rsidRPr="00EE0DF4">
        <w:rPr>
          <w:rFonts w:asciiTheme="minorHAnsi" w:hAnsiTheme="minorHAnsi"/>
          <w:bCs/>
          <w:i/>
          <w:iCs/>
          <w:lang w:val="en-US"/>
        </w:rPr>
        <w:t>D3</w:t>
      </w:r>
      <w:r w:rsidR="007B48A7">
        <w:rPr>
          <w:rFonts w:asciiTheme="minorHAnsi" w:hAnsiTheme="minorHAnsi"/>
          <w:bCs/>
          <w:iCs/>
          <w:lang w:val="en-US"/>
        </w:rPr>
        <w:t xml:space="preserve">: </w:t>
      </w:r>
      <w:r w:rsidR="007B48A7" w:rsidRPr="006D505C">
        <w:rPr>
          <w:rFonts w:asciiTheme="minorHAnsi" w:hAnsiTheme="minorHAnsi"/>
          <w:bCs/>
          <w:i/>
          <w:iCs/>
          <w:lang w:val="en-US"/>
        </w:rPr>
        <w:t>λ</w:t>
      </w:r>
      <w:r w:rsidR="0073330E">
        <w:rPr>
          <w:rFonts w:asciiTheme="minorHAnsi" w:hAnsiTheme="minorHAnsi"/>
          <w:bCs/>
          <w:i/>
          <w:iCs/>
          <w:vertAlign w:val="subscript"/>
          <w:lang w:val="en-US"/>
        </w:rPr>
        <w:t xml:space="preserve"> </w:t>
      </w:r>
      <w:r w:rsidR="007B48A7" w:rsidRPr="007B48A7">
        <w:rPr>
          <w:rFonts w:asciiTheme="minorHAnsi" w:hAnsiTheme="minorHAnsi"/>
          <w:bCs/>
          <w:iCs/>
          <w:lang w:val="en-US"/>
        </w:rPr>
        <w:t xml:space="preserve">= </w:t>
      </w:r>
      <w:r w:rsidR="006674D1">
        <w:rPr>
          <w:rFonts w:asciiTheme="minorHAnsi" w:hAnsiTheme="minorHAnsi"/>
          <w:bCs/>
          <w:iCs/>
          <w:lang w:val="en-US"/>
        </w:rPr>
        <w:t>0.74</w:t>
      </w:r>
      <w:r w:rsidR="007B48A7">
        <w:rPr>
          <w:rFonts w:asciiTheme="minorHAnsi" w:hAnsiTheme="minorHAnsi"/>
          <w:bCs/>
          <w:iCs/>
          <w:lang w:val="en-US"/>
        </w:rPr>
        <w:t>).</w:t>
      </w:r>
      <w:bookmarkEnd w:id="4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512E82" w:rsidTr="00DA4B35">
        <w:tc>
          <w:tcPr>
            <w:tcW w:w="4675" w:type="dxa"/>
          </w:tcPr>
          <w:p w:rsidR="00512E82" w:rsidRPr="007A61B1" w:rsidRDefault="00C60F99" w:rsidP="00BC14B1">
            <w:pPr>
              <w:pStyle w:val="RoadefTexte"/>
              <w:tabs>
                <w:tab w:val="left" w:pos="0"/>
              </w:tabs>
              <w:ind w:firstLine="0"/>
              <w:rPr>
                <w:rFonts w:asciiTheme="minorHAnsi" w:hAnsiTheme="minorHAnsi"/>
                <w:b/>
                <w:sz w:val="18"/>
              </w:rPr>
            </w:pPr>
            <w:r w:rsidRPr="00C60F99">
              <w:rPr>
                <w:rFonts w:asciiTheme="minorHAnsi" w:hAnsiTheme="minorHAnsi"/>
                <w:b/>
                <w:noProof/>
                <w:sz w:val="18"/>
                <w:lang w:val="en-US"/>
              </w:rPr>
              <w:drawing>
                <wp:inline distT="0" distB="0" distL="0" distR="0">
                  <wp:extent cx="2878137" cy="2447925"/>
                  <wp:effectExtent l="0" t="0" r="0" b="0"/>
                  <wp:docPr id="66"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75" w:type="dxa"/>
          </w:tcPr>
          <w:p w:rsidR="00512E82" w:rsidRPr="007A61B1" w:rsidRDefault="00C60F99" w:rsidP="007A61B1">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drawing>
                <wp:inline distT="0" distB="0" distL="0" distR="0">
                  <wp:extent cx="2878137" cy="2447925"/>
                  <wp:effectExtent l="0" t="0" r="0" b="0"/>
                  <wp:docPr id="67"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DA4B35" w:rsidRPr="00BF1F6F" w:rsidRDefault="00843494" w:rsidP="00BF1F6F">
      <w:pPr>
        <w:pStyle w:val="RoadefTexte"/>
        <w:tabs>
          <w:tab w:val="left" w:pos="0"/>
        </w:tabs>
        <w:spacing w:line="276" w:lineRule="auto"/>
        <w:ind w:firstLine="0"/>
        <w:jc w:val="center"/>
        <w:rPr>
          <w:rFonts w:asciiTheme="minorHAnsi" w:hAnsiTheme="minorHAnsi"/>
          <w:sz w:val="20"/>
          <w:lang w:val="en-US"/>
        </w:rPr>
      </w:pPr>
      <w:bookmarkStart w:id="500" w:name="OLE_LINK304"/>
      <w:bookmarkStart w:id="501" w:name="OLE_LINK305"/>
      <w:bookmarkStart w:id="502" w:name="OLE_LINK776"/>
      <w:bookmarkStart w:id="503" w:name="OLE_LINK791"/>
      <w:bookmarkEnd w:id="482"/>
      <w:bookmarkEnd w:id="483"/>
      <w:bookmarkEnd w:id="486"/>
      <w:bookmarkEnd w:id="487"/>
      <w:proofErr w:type="gramStart"/>
      <w:r w:rsidRPr="00BD3852">
        <w:rPr>
          <w:rFonts w:asciiTheme="minorHAnsi" w:hAnsiTheme="minorHAnsi"/>
          <w:b/>
          <w:sz w:val="20"/>
          <w:lang w:val="en-US"/>
        </w:rPr>
        <w:t>Figure 5.</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Impact of the depot location on the relative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w:t>
      </w:r>
    </w:p>
    <w:p w:rsidR="00F722F5" w:rsidRDefault="00F722F5" w:rsidP="00F00EA5">
      <w:pPr>
        <w:pStyle w:val="RoadefTexte"/>
        <w:tabs>
          <w:tab w:val="left" w:pos="0"/>
        </w:tabs>
        <w:spacing w:after="0" w:line="276" w:lineRule="auto"/>
        <w:ind w:firstLine="0"/>
        <w:rPr>
          <w:rFonts w:asciiTheme="minorHAnsi" w:hAnsiTheme="minorHAnsi"/>
          <w:i/>
          <w:lang w:val="en-US"/>
        </w:rPr>
      </w:pPr>
      <w:bookmarkStart w:id="504" w:name="OLE_LINK205"/>
      <w:bookmarkStart w:id="505" w:name="OLE_LINK234"/>
    </w:p>
    <w:p w:rsidR="00F722F5" w:rsidRDefault="00F722F5" w:rsidP="00F00EA5">
      <w:pPr>
        <w:pStyle w:val="RoadefTexte"/>
        <w:tabs>
          <w:tab w:val="left" w:pos="0"/>
        </w:tabs>
        <w:spacing w:after="0" w:line="276" w:lineRule="auto"/>
        <w:ind w:firstLine="0"/>
        <w:rPr>
          <w:rFonts w:asciiTheme="minorHAnsi" w:hAnsiTheme="minorHAnsi"/>
          <w:i/>
          <w:lang w:val="en-US"/>
        </w:rPr>
      </w:pPr>
    </w:p>
    <w:p w:rsidR="00F00EA5" w:rsidRDefault="00BC14B1" w:rsidP="00F00EA5">
      <w:pPr>
        <w:pStyle w:val="RoadefTexte"/>
        <w:tabs>
          <w:tab w:val="left" w:pos="0"/>
        </w:tabs>
        <w:spacing w:after="0" w:line="276" w:lineRule="auto"/>
        <w:ind w:firstLine="0"/>
        <w:rPr>
          <w:rFonts w:asciiTheme="minorHAnsi" w:hAnsiTheme="minorHAnsi"/>
          <w:b/>
          <w:lang w:val="en-US"/>
        </w:rPr>
      </w:pPr>
      <w:r w:rsidRPr="00F00EA5">
        <w:rPr>
          <w:rFonts w:asciiTheme="minorHAnsi" w:hAnsiTheme="minorHAnsi"/>
          <w:i/>
          <w:lang w:val="en-US"/>
        </w:rPr>
        <w:lastRenderedPageBreak/>
        <w:t>U</w:t>
      </w:r>
      <w:r w:rsidR="000036E0" w:rsidRPr="00F00EA5">
        <w:rPr>
          <w:rFonts w:asciiTheme="minorHAnsi" w:hAnsiTheme="minorHAnsi"/>
          <w:i/>
          <w:lang w:val="en-US"/>
        </w:rPr>
        <w:t>nloading/loading times</w:t>
      </w:r>
      <w:r w:rsidR="00DF45A3" w:rsidRPr="00F00EA5">
        <w:rPr>
          <w:rFonts w:asciiTheme="minorHAnsi" w:hAnsiTheme="minorHAnsi"/>
          <w:i/>
          <w:lang w:val="en-US"/>
        </w:rPr>
        <w:t xml:space="preserve"> at the </w:t>
      </w:r>
      <w:r w:rsidR="00216E05" w:rsidRPr="00F00EA5">
        <w:rPr>
          <w:rFonts w:asciiTheme="minorHAnsi" w:hAnsiTheme="minorHAnsi"/>
          <w:i/>
          <w:lang w:val="en-US"/>
        </w:rPr>
        <w:t>cross-dock</w:t>
      </w:r>
      <w:r w:rsidR="00216E05" w:rsidRPr="00F00EA5">
        <w:rPr>
          <w:i/>
          <w:szCs w:val="24"/>
        </w:rPr>
        <w:t xml:space="preserve"> </w:t>
      </w:r>
      <w:r w:rsidR="00863CD9" w:rsidRPr="00F00EA5">
        <w:rPr>
          <w:rFonts w:asciiTheme="minorHAnsi" w:hAnsiTheme="minorHAnsi"/>
          <w:i/>
          <w:lang w:val="en-US"/>
        </w:rPr>
        <w:t>(s)</w:t>
      </w:r>
      <w:r w:rsidR="006003BB">
        <w:rPr>
          <w:rFonts w:asciiTheme="minorHAnsi" w:hAnsiTheme="minorHAnsi"/>
          <w:b/>
          <w:lang w:val="en-US"/>
        </w:rPr>
        <w:t xml:space="preserve"> </w:t>
      </w:r>
    </w:p>
    <w:p w:rsidR="00DA4B35" w:rsidRPr="00DA4B35" w:rsidRDefault="005B4468" w:rsidP="00F00EA5">
      <w:pPr>
        <w:pStyle w:val="RoadefTexte"/>
        <w:tabs>
          <w:tab w:val="left" w:pos="0"/>
        </w:tabs>
        <w:spacing w:after="0" w:line="276" w:lineRule="auto"/>
        <w:ind w:firstLine="0"/>
        <w:rPr>
          <w:rFonts w:asciiTheme="minorHAnsi" w:hAnsiTheme="minorHAnsi"/>
          <w:lang w:val="en-US"/>
        </w:rPr>
      </w:pPr>
      <w:r>
        <w:rPr>
          <w:rFonts w:asciiTheme="minorHAnsi" w:eastAsiaTheme="minorHAnsi" w:hAnsiTheme="minorHAnsi" w:cstheme="minorBidi"/>
          <w:lang w:val="en-US"/>
        </w:rPr>
        <w:t xml:space="preserve">The </w:t>
      </w:r>
      <w:r w:rsidR="007B48A7">
        <w:rPr>
          <w:rFonts w:asciiTheme="minorHAnsi" w:eastAsiaTheme="minorHAnsi" w:hAnsiTheme="minorHAnsi" w:cstheme="minorBidi"/>
          <w:lang w:val="en-US"/>
        </w:rPr>
        <w:t>role</w:t>
      </w:r>
      <w:r>
        <w:rPr>
          <w:rFonts w:asciiTheme="minorHAnsi" w:eastAsiaTheme="minorHAnsi" w:hAnsiTheme="minorHAnsi" w:cstheme="minorBidi"/>
          <w:lang w:val="en-US"/>
        </w:rPr>
        <w:t xml:space="preserve"> of</w:t>
      </w:r>
      <w:r w:rsidR="00BD5043">
        <w:rPr>
          <w:rFonts w:asciiTheme="minorHAnsi" w:eastAsiaTheme="minorHAnsi" w:hAnsiTheme="minorHAnsi" w:cstheme="minorBidi"/>
          <w:lang w:val="en-US"/>
        </w:rPr>
        <w:t xml:space="preserve"> the service</w:t>
      </w:r>
      <w:r w:rsidRPr="00F70728">
        <w:rPr>
          <w:rFonts w:asciiTheme="minorHAnsi" w:hAnsiTheme="minorHAnsi"/>
          <w:lang w:val="en-US"/>
        </w:rPr>
        <w:t xml:space="preserve"> time at the CD</w:t>
      </w:r>
      <w:r w:rsidR="00DB5DC6">
        <w:rPr>
          <w:rFonts w:asciiTheme="minorHAnsi" w:hAnsiTheme="minorHAnsi"/>
          <w:lang w:val="en-US"/>
        </w:rPr>
        <w:t xml:space="preserve"> is </w:t>
      </w:r>
      <w:r w:rsidR="00F75CAC">
        <w:rPr>
          <w:rFonts w:asciiTheme="minorHAnsi" w:hAnsiTheme="minorHAnsi"/>
          <w:lang w:val="en-US"/>
        </w:rPr>
        <w:t xml:space="preserve">straightforward to understand and is </w:t>
      </w:r>
      <w:r w:rsidR="00DB5DC6">
        <w:rPr>
          <w:rFonts w:asciiTheme="minorHAnsi" w:hAnsiTheme="minorHAnsi"/>
          <w:lang w:val="en-US"/>
        </w:rPr>
        <w:t xml:space="preserve">shown in Figure </w:t>
      </w:r>
      <w:r w:rsidR="00F839DA">
        <w:rPr>
          <w:rFonts w:asciiTheme="minorHAnsi" w:hAnsiTheme="minorHAnsi"/>
          <w:lang w:val="en-US"/>
        </w:rPr>
        <w:t>6</w:t>
      </w:r>
      <w:r w:rsidR="00DB5DC6">
        <w:rPr>
          <w:rFonts w:asciiTheme="minorHAnsi" w:hAnsiTheme="minorHAnsi"/>
          <w:lang w:val="en-US"/>
        </w:rPr>
        <w:t xml:space="preserve">. </w:t>
      </w:r>
      <w:r w:rsidR="00F75CAC">
        <w:rPr>
          <w:rFonts w:asciiTheme="minorHAnsi" w:hAnsiTheme="minorHAnsi"/>
          <w:lang w:val="en-US"/>
        </w:rPr>
        <w:t>T</w:t>
      </w:r>
      <w:r>
        <w:rPr>
          <w:rFonts w:asciiTheme="minorHAnsi" w:hAnsiTheme="minorHAnsi"/>
          <w:lang w:val="en-US"/>
        </w:rPr>
        <w:t xml:space="preserve">he </w:t>
      </w:r>
      <w:r w:rsidR="007B48A7">
        <w:rPr>
          <w:rFonts w:asciiTheme="minorHAnsi" w:hAnsiTheme="minorHAnsi"/>
          <w:lang w:val="en-US"/>
        </w:rPr>
        <w:t xml:space="preserve">higher the time necessary for handling the consolidation operations </w:t>
      </w:r>
      <w:r w:rsidR="00BD7F01">
        <w:rPr>
          <w:rFonts w:asciiTheme="minorHAnsi" w:hAnsiTheme="minorHAnsi"/>
          <w:lang w:val="en-US"/>
        </w:rPr>
        <w:t>in</w:t>
      </w:r>
      <w:r w:rsidR="007B48A7">
        <w:rPr>
          <w:rFonts w:asciiTheme="minorHAnsi" w:hAnsiTheme="minorHAnsi"/>
          <w:lang w:val="en-US"/>
        </w:rPr>
        <w:t xml:space="preserve"> the </w:t>
      </w:r>
      <w:r w:rsidR="00BD7F01">
        <w:rPr>
          <w:rFonts w:asciiTheme="minorHAnsi" w:hAnsiTheme="minorHAnsi"/>
          <w:lang w:val="en-US"/>
        </w:rPr>
        <w:t>cross-dock</w:t>
      </w:r>
      <w:r w:rsidR="007B48A7">
        <w:rPr>
          <w:rFonts w:asciiTheme="minorHAnsi" w:hAnsiTheme="minorHAnsi"/>
          <w:lang w:val="en-US"/>
        </w:rPr>
        <w:t>, the higher the VRPCD solution cost</w:t>
      </w:r>
      <w:r w:rsidR="00F06313">
        <w:rPr>
          <w:rFonts w:asciiTheme="minorHAnsi" w:hAnsiTheme="minorHAnsi"/>
          <w:lang w:val="en-US"/>
        </w:rPr>
        <w:t>.</w:t>
      </w:r>
      <w:bookmarkEnd w:id="500"/>
      <w:bookmarkEnd w:id="50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7"/>
        <w:gridCol w:w="4749"/>
      </w:tblGrid>
      <w:tr w:rsidR="00096FA8" w:rsidTr="00DA4B35">
        <w:trPr>
          <w:jc w:val="center"/>
        </w:trPr>
        <w:tc>
          <w:tcPr>
            <w:tcW w:w="4866" w:type="dxa"/>
          </w:tcPr>
          <w:bookmarkEnd w:id="417"/>
          <w:bookmarkEnd w:id="418"/>
          <w:bookmarkEnd w:id="419"/>
          <w:bookmarkEnd w:id="420"/>
          <w:bookmarkEnd w:id="421"/>
          <w:bookmarkEnd w:id="422"/>
          <w:bookmarkEnd w:id="423"/>
          <w:bookmarkEnd w:id="502"/>
          <w:bookmarkEnd w:id="503"/>
          <w:bookmarkEnd w:id="504"/>
          <w:bookmarkEnd w:id="505"/>
          <w:p w:rsidR="00096FA8" w:rsidRPr="005D32F1" w:rsidRDefault="00C60F99" w:rsidP="00BC14B1">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drawing>
                <wp:inline distT="0" distB="0" distL="0" distR="0">
                  <wp:extent cx="2878137" cy="2447925"/>
                  <wp:effectExtent l="0" t="0" r="0" b="0"/>
                  <wp:docPr id="69"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75" w:type="dxa"/>
          </w:tcPr>
          <w:p w:rsidR="00096FA8" w:rsidRPr="005D32F1" w:rsidRDefault="00C60F99" w:rsidP="00BC14B1">
            <w:pPr>
              <w:pStyle w:val="RoadefTexte"/>
              <w:tabs>
                <w:tab w:val="left" w:pos="0"/>
              </w:tabs>
              <w:ind w:firstLine="0"/>
              <w:rPr>
                <w:rFonts w:asciiTheme="minorHAnsi" w:hAnsiTheme="minorHAnsi"/>
                <w:b/>
                <w:sz w:val="18"/>
                <w:lang w:val="en-US"/>
              </w:rPr>
            </w:pPr>
            <w:r w:rsidRPr="00C60F99">
              <w:rPr>
                <w:rFonts w:asciiTheme="minorHAnsi" w:hAnsiTheme="minorHAnsi"/>
                <w:b/>
                <w:noProof/>
                <w:sz w:val="18"/>
                <w:lang w:val="en-US"/>
              </w:rPr>
              <w:drawing>
                <wp:inline distT="0" distB="0" distL="0" distR="0">
                  <wp:extent cx="2878137" cy="2447925"/>
                  <wp:effectExtent l="0" t="0" r="0" b="0"/>
                  <wp:docPr id="68"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DA4B35" w:rsidRPr="00F00EA5" w:rsidRDefault="00AB6C08" w:rsidP="00F00EA5">
      <w:pPr>
        <w:pStyle w:val="RoadefTexte"/>
        <w:tabs>
          <w:tab w:val="left" w:pos="0"/>
        </w:tabs>
        <w:spacing w:line="276" w:lineRule="auto"/>
        <w:ind w:firstLine="0"/>
        <w:jc w:val="center"/>
        <w:rPr>
          <w:rFonts w:asciiTheme="minorHAnsi" w:hAnsiTheme="minorHAnsi"/>
          <w:sz w:val="20"/>
          <w:lang w:val="en-US"/>
        </w:rPr>
      </w:pPr>
      <w:proofErr w:type="gramStart"/>
      <w:r w:rsidRPr="00BD3852">
        <w:rPr>
          <w:rFonts w:asciiTheme="minorHAnsi" w:hAnsiTheme="minorHAnsi"/>
          <w:b/>
          <w:sz w:val="20"/>
          <w:lang w:val="en-US"/>
        </w:rPr>
        <w:t>Figure 6.</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 xml:space="preserve">Impact of </w:t>
      </w:r>
      <w:r w:rsidRPr="00BD3852">
        <w:rPr>
          <w:rFonts w:asciiTheme="minorHAnsi" w:hAnsiTheme="minorHAnsi"/>
          <w:sz w:val="20"/>
          <w:lang w:val="en-US"/>
        </w:rPr>
        <w:t xml:space="preserve">the unloading/loading time at the </w:t>
      </w:r>
      <w:r w:rsidR="00216E05" w:rsidRPr="00DA4B35">
        <w:rPr>
          <w:rFonts w:asciiTheme="minorHAnsi" w:hAnsiTheme="minorHAnsi"/>
          <w:sz w:val="20"/>
          <w:lang w:val="en-US"/>
        </w:rPr>
        <w:t xml:space="preserve">cross-dock </w:t>
      </w:r>
      <w:r w:rsidRPr="00BD3852">
        <w:rPr>
          <w:rFonts w:asciiTheme="minorHAnsi" w:hAnsiTheme="minorHAnsi"/>
          <w:sz w:val="20"/>
          <w:lang w:val="en-US"/>
        </w:rPr>
        <w:t>on the relative</w:t>
      </w:r>
      <w:r w:rsidRPr="00BD3852">
        <w:rPr>
          <w:rFonts w:asciiTheme="minorHAnsi" w:hAnsiTheme="minorHAnsi"/>
          <w:bCs/>
          <w:sz w:val="20"/>
          <w:lang w:val="en-US"/>
        </w:rPr>
        <w:t xml:space="preser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w:t>
      </w:r>
      <w:bookmarkStart w:id="506" w:name="OLE_LINK106"/>
      <w:bookmarkStart w:id="507" w:name="OLE_LINK107"/>
    </w:p>
    <w:p w:rsidR="00F00EA5" w:rsidRDefault="00F00EA5" w:rsidP="00F00EA5">
      <w:pPr>
        <w:pStyle w:val="RoadefTexte"/>
        <w:tabs>
          <w:tab w:val="left" w:pos="0"/>
        </w:tabs>
        <w:spacing w:after="0" w:line="276" w:lineRule="auto"/>
        <w:ind w:firstLine="0"/>
        <w:rPr>
          <w:rFonts w:asciiTheme="minorHAnsi" w:hAnsiTheme="minorHAnsi"/>
          <w:lang w:val="en-US"/>
        </w:rPr>
      </w:pPr>
      <w:r>
        <w:rPr>
          <w:rFonts w:asciiTheme="minorHAnsi" w:hAnsiTheme="minorHAnsi"/>
          <w:lang w:val="en-US"/>
        </w:rPr>
        <w:tab/>
      </w:r>
      <w:r w:rsidR="00550C74">
        <w:rPr>
          <w:rFonts w:asciiTheme="minorHAnsi" w:hAnsiTheme="minorHAnsi"/>
          <w:lang w:val="en-US"/>
        </w:rPr>
        <w:t xml:space="preserve">We would also like to comment on the relative effectiveness of the </w:t>
      </w:r>
      <w:r w:rsidR="00632686">
        <w:rPr>
          <w:rFonts w:asciiTheme="minorHAnsi" w:hAnsiTheme="minorHAnsi"/>
          <w:lang w:val="en-US"/>
        </w:rPr>
        <w:t>cross-docking</w:t>
      </w:r>
      <w:r w:rsidR="00550C74">
        <w:rPr>
          <w:rFonts w:asciiTheme="minorHAnsi" w:hAnsiTheme="minorHAnsi"/>
          <w:lang w:val="en-US"/>
        </w:rPr>
        <w:t xml:space="preserve"> and </w:t>
      </w:r>
      <w:r w:rsidR="00632686">
        <w:rPr>
          <w:rFonts w:asciiTheme="minorHAnsi" w:hAnsiTheme="minorHAnsi"/>
          <w:lang w:val="en-US"/>
        </w:rPr>
        <w:t xml:space="preserve">direct shipping strategies </w:t>
      </w:r>
      <w:r w:rsidR="00690A29">
        <w:rPr>
          <w:rFonts w:asciiTheme="minorHAnsi" w:hAnsiTheme="minorHAnsi"/>
          <w:lang w:val="en-US"/>
        </w:rPr>
        <w:t>for the different types of network characteristics. Regarding the distribution of the service location</w:t>
      </w:r>
      <w:r w:rsidR="00632686">
        <w:rPr>
          <w:rFonts w:asciiTheme="minorHAnsi" w:hAnsiTheme="minorHAnsi"/>
          <w:lang w:val="en-US"/>
        </w:rPr>
        <w:t>s, we observe that in principle</w:t>
      </w:r>
      <w:r w:rsidR="00690A29">
        <w:rPr>
          <w:rFonts w:asciiTheme="minorHAnsi" w:hAnsiTheme="minorHAnsi"/>
          <w:lang w:val="en-US"/>
        </w:rPr>
        <w:t xml:space="preserve"> when the graph is clustered the </w:t>
      </w:r>
      <w:r w:rsidR="00632686">
        <w:rPr>
          <w:rFonts w:asciiTheme="minorHAnsi" w:hAnsiTheme="minorHAnsi"/>
          <w:lang w:val="en-US"/>
        </w:rPr>
        <w:t xml:space="preserve">cross-dock </w:t>
      </w:r>
      <w:r w:rsidR="00690A29">
        <w:rPr>
          <w:rFonts w:asciiTheme="minorHAnsi" w:hAnsiTheme="minorHAnsi"/>
          <w:lang w:val="en-US"/>
        </w:rPr>
        <w:t>seems t</w:t>
      </w:r>
      <w:r w:rsidR="00632686">
        <w:rPr>
          <w:rFonts w:asciiTheme="minorHAnsi" w:hAnsiTheme="minorHAnsi"/>
          <w:lang w:val="en-US"/>
        </w:rPr>
        <w:t>o perform better</w:t>
      </w:r>
      <w:r w:rsidR="00690A29">
        <w:rPr>
          <w:rFonts w:asciiTheme="minorHAnsi" w:hAnsiTheme="minorHAnsi"/>
          <w:lang w:val="en-US"/>
        </w:rPr>
        <w:t xml:space="preserve">. More specifically, </w:t>
      </w:r>
      <w:r w:rsidR="00BF753F">
        <w:rPr>
          <w:rFonts w:asciiTheme="minorHAnsi" w:hAnsiTheme="minorHAnsi"/>
          <w:lang w:val="en-US"/>
        </w:rPr>
        <w:t xml:space="preserve">the average PDP solution scores divided by the average VRPCD solution scores over the </w:t>
      </w:r>
      <w:r w:rsidR="00BF753F" w:rsidRPr="00D3299A">
        <w:rPr>
          <w:rFonts w:asciiTheme="minorHAnsi" w:hAnsiTheme="minorHAnsi"/>
          <w:i/>
          <w:lang w:val="en-US"/>
        </w:rPr>
        <w:t>R</w:t>
      </w:r>
      <w:r w:rsidR="00BF753F">
        <w:rPr>
          <w:rFonts w:asciiTheme="minorHAnsi" w:hAnsiTheme="minorHAnsi"/>
          <w:lang w:val="en-US"/>
        </w:rPr>
        <w:t xml:space="preserve"> class instances is </w:t>
      </w:r>
      <w:r w:rsidR="00351071">
        <w:rPr>
          <w:rFonts w:asciiTheme="minorHAnsi" w:hAnsiTheme="minorHAnsi"/>
          <w:lang w:val="en-US"/>
        </w:rPr>
        <w:t>0.73</w:t>
      </w:r>
      <w:r w:rsidR="00BF753F">
        <w:rPr>
          <w:rFonts w:asciiTheme="minorHAnsi" w:hAnsiTheme="minorHAnsi"/>
          <w:lang w:val="en-US"/>
        </w:rPr>
        <w:t xml:space="preserve">, whereas for the </w:t>
      </w:r>
      <w:r w:rsidR="00351071" w:rsidRPr="00D3299A">
        <w:rPr>
          <w:rFonts w:asciiTheme="minorHAnsi" w:hAnsiTheme="minorHAnsi"/>
          <w:i/>
          <w:lang w:val="en-US"/>
        </w:rPr>
        <w:t>C</w:t>
      </w:r>
      <w:r w:rsidR="00BF753F">
        <w:rPr>
          <w:rFonts w:asciiTheme="minorHAnsi" w:hAnsiTheme="minorHAnsi"/>
          <w:lang w:val="en-US"/>
        </w:rPr>
        <w:t xml:space="preserve"> class of test problems the aforementioned ratio goes up to </w:t>
      </w:r>
      <w:r w:rsidR="00351071">
        <w:rPr>
          <w:rFonts w:asciiTheme="minorHAnsi" w:hAnsiTheme="minorHAnsi"/>
          <w:lang w:val="en-US"/>
        </w:rPr>
        <w:t>0.81</w:t>
      </w:r>
      <w:r w:rsidR="00BF753F">
        <w:rPr>
          <w:rFonts w:asciiTheme="minorHAnsi" w:hAnsiTheme="minorHAnsi"/>
          <w:lang w:val="en-US"/>
        </w:rPr>
        <w:t>.</w:t>
      </w:r>
      <w:r w:rsidR="00567A66">
        <w:rPr>
          <w:rFonts w:asciiTheme="minorHAnsi" w:hAnsiTheme="minorHAnsi"/>
          <w:lang w:val="en-US"/>
        </w:rPr>
        <w:t xml:space="preserve"> </w:t>
      </w:r>
      <w:r w:rsidR="00BF753F">
        <w:rPr>
          <w:rFonts w:asciiTheme="minorHAnsi" w:hAnsiTheme="minorHAnsi"/>
          <w:lang w:val="en-US"/>
        </w:rPr>
        <w:t>Rega</w:t>
      </w:r>
      <w:r w:rsidR="000926DE">
        <w:rPr>
          <w:rFonts w:asciiTheme="minorHAnsi" w:hAnsiTheme="minorHAnsi"/>
          <w:lang w:val="en-US"/>
        </w:rPr>
        <w:t>rding the proximity of the pick</w:t>
      </w:r>
      <w:r w:rsidR="00BF753F">
        <w:rPr>
          <w:rFonts w:asciiTheme="minorHAnsi" w:hAnsiTheme="minorHAnsi"/>
          <w:lang w:val="en-US"/>
        </w:rPr>
        <w:t>up and delivery pairs, we have a much clearer</w:t>
      </w:r>
      <w:r w:rsidR="00E22577">
        <w:rPr>
          <w:rFonts w:asciiTheme="minorHAnsi" w:hAnsiTheme="minorHAnsi"/>
          <w:lang w:val="en-US"/>
        </w:rPr>
        <w:t xml:space="preserve"> picture. For the closed configuration of </w:t>
      </w:r>
      <w:r w:rsidR="00103559">
        <w:rPr>
          <w:rFonts w:asciiTheme="minorHAnsi" w:hAnsiTheme="minorHAnsi"/>
          <w:lang w:val="en-US"/>
        </w:rPr>
        <w:t xml:space="preserve">the </w:t>
      </w:r>
      <w:r w:rsidR="000926DE">
        <w:rPr>
          <w:rFonts w:asciiTheme="minorHAnsi" w:hAnsiTheme="minorHAnsi"/>
          <w:lang w:val="en-US"/>
        </w:rPr>
        <w:t>pick</w:t>
      </w:r>
      <w:r w:rsidR="00E22577">
        <w:rPr>
          <w:rFonts w:asciiTheme="minorHAnsi" w:hAnsiTheme="minorHAnsi"/>
          <w:lang w:val="en-US"/>
        </w:rPr>
        <w:t xml:space="preserve">up and delivery </w:t>
      </w:r>
      <w:r w:rsidR="00103559">
        <w:rPr>
          <w:rFonts w:asciiTheme="minorHAnsi" w:hAnsiTheme="minorHAnsi"/>
          <w:lang w:val="en-US"/>
        </w:rPr>
        <w:t xml:space="preserve">pairs (class </w:t>
      </w:r>
      <w:r w:rsidR="00103559" w:rsidRPr="00B94EFE">
        <w:rPr>
          <w:rFonts w:asciiTheme="minorHAnsi" w:hAnsiTheme="minorHAnsi"/>
          <w:i/>
          <w:lang w:val="en-US"/>
        </w:rPr>
        <w:t>CL</w:t>
      </w:r>
      <w:r w:rsidR="00103559">
        <w:rPr>
          <w:rFonts w:asciiTheme="minorHAnsi" w:hAnsiTheme="minorHAnsi"/>
          <w:lang w:val="en-US"/>
        </w:rPr>
        <w:t xml:space="preserve">), the average solution score </w:t>
      </w:r>
      <w:r w:rsidR="00890B85">
        <w:rPr>
          <w:rFonts w:asciiTheme="minorHAnsi" w:hAnsiTheme="minorHAnsi"/>
          <w:lang w:val="en-US"/>
        </w:rPr>
        <w:t xml:space="preserve">for the PDP over the VRPCD one is </w:t>
      </w:r>
      <w:r w:rsidR="00351071">
        <w:rPr>
          <w:rFonts w:asciiTheme="minorHAnsi" w:hAnsiTheme="minorHAnsi"/>
          <w:lang w:val="en-US"/>
        </w:rPr>
        <w:t>0.52</w:t>
      </w:r>
      <w:r w:rsidR="00890B85">
        <w:rPr>
          <w:rFonts w:asciiTheme="minorHAnsi" w:hAnsiTheme="minorHAnsi"/>
          <w:lang w:val="en-US"/>
        </w:rPr>
        <w:t xml:space="preserve">. Moving to the more distant configurations </w:t>
      </w:r>
      <w:r w:rsidR="00351071" w:rsidRPr="00D3299A">
        <w:rPr>
          <w:rFonts w:asciiTheme="minorHAnsi" w:hAnsiTheme="minorHAnsi"/>
          <w:i/>
          <w:lang w:val="en-US"/>
        </w:rPr>
        <w:t>DCL</w:t>
      </w:r>
      <w:r w:rsidR="00890B85">
        <w:rPr>
          <w:rFonts w:asciiTheme="minorHAnsi" w:hAnsiTheme="minorHAnsi"/>
          <w:lang w:val="en-US"/>
        </w:rPr>
        <w:t xml:space="preserve"> and </w:t>
      </w:r>
      <w:r w:rsidR="00351071" w:rsidRPr="00D3299A">
        <w:rPr>
          <w:rFonts w:asciiTheme="minorHAnsi" w:hAnsiTheme="minorHAnsi"/>
          <w:i/>
          <w:lang w:val="en-US"/>
        </w:rPr>
        <w:t>DS</w:t>
      </w:r>
      <w:r w:rsidR="00890B85">
        <w:rPr>
          <w:rFonts w:asciiTheme="minorHAnsi" w:hAnsiTheme="minorHAnsi"/>
          <w:lang w:val="en-US"/>
        </w:rPr>
        <w:t xml:space="preserve">, the corresponding ratios are significantly increased to </w:t>
      </w:r>
      <w:r w:rsidR="00351071">
        <w:rPr>
          <w:rFonts w:asciiTheme="minorHAnsi" w:hAnsiTheme="minorHAnsi"/>
          <w:lang w:val="en-US"/>
        </w:rPr>
        <w:t>0.91</w:t>
      </w:r>
      <w:r w:rsidR="00890B85">
        <w:rPr>
          <w:rFonts w:asciiTheme="minorHAnsi" w:hAnsiTheme="minorHAnsi"/>
          <w:lang w:val="en-US"/>
        </w:rPr>
        <w:t xml:space="preserve"> and </w:t>
      </w:r>
      <w:r w:rsidR="00351071">
        <w:rPr>
          <w:rFonts w:asciiTheme="minorHAnsi" w:hAnsiTheme="minorHAnsi"/>
          <w:lang w:val="en-US"/>
        </w:rPr>
        <w:t>0.94</w:t>
      </w:r>
      <w:r w:rsidR="00890B85">
        <w:rPr>
          <w:rFonts w:asciiTheme="minorHAnsi" w:hAnsiTheme="minorHAnsi"/>
          <w:lang w:val="en-US"/>
        </w:rPr>
        <w:t>, respectively.</w:t>
      </w:r>
      <w:bookmarkEnd w:id="506"/>
      <w:bookmarkEnd w:id="507"/>
    </w:p>
    <w:p w:rsidR="00DA4B35" w:rsidRPr="00F722F5" w:rsidRDefault="00F00EA5" w:rsidP="00F722F5">
      <w:pPr>
        <w:pStyle w:val="RoadefTexte"/>
        <w:tabs>
          <w:tab w:val="left" w:pos="0"/>
        </w:tabs>
        <w:spacing w:after="0" w:line="276" w:lineRule="auto"/>
        <w:ind w:firstLine="0"/>
        <w:rPr>
          <w:rFonts w:asciiTheme="minorHAnsi" w:hAnsiTheme="minorHAnsi"/>
          <w:sz w:val="20"/>
          <w:lang w:val="en-US"/>
        </w:rPr>
      </w:pPr>
      <w:r>
        <w:rPr>
          <w:rFonts w:asciiTheme="minorHAnsi" w:eastAsiaTheme="minorHAnsi" w:hAnsiTheme="minorHAnsi" w:cstheme="minorBidi"/>
          <w:lang w:val="en-US"/>
        </w:rPr>
        <w:tab/>
      </w:r>
      <w:r w:rsidR="00632686">
        <w:rPr>
          <w:rFonts w:asciiTheme="minorHAnsi" w:eastAsiaTheme="minorHAnsi" w:hAnsiTheme="minorHAnsi" w:cstheme="minorBidi"/>
          <w:lang w:val="en-US"/>
        </w:rPr>
        <w:t>Lastly</w:t>
      </w:r>
      <w:r w:rsidR="004849F2">
        <w:rPr>
          <w:rFonts w:asciiTheme="minorHAnsi" w:eastAsiaTheme="minorHAnsi" w:hAnsiTheme="minorHAnsi" w:cstheme="minorBidi"/>
          <w:lang w:val="en-US"/>
        </w:rPr>
        <w:t xml:space="preserve">, </w:t>
      </w:r>
      <w:r w:rsidR="00632686">
        <w:rPr>
          <w:rFonts w:asciiTheme="minorHAnsi" w:eastAsiaTheme="minorHAnsi" w:hAnsiTheme="minorHAnsi" w:cstheme="minorBidi"/>
          <w:lang w:val="en-US"/>
        </w:rPr>
        <w:t xml:space="preserve">another observation is </w:t>
      </w:r>
      <w:r w:rsidR="004849F2">
        <w:rPr>
          <w:rFonts w:asciiTheme="minorHAnsi" w:eastAsiaTheme="minorHAnsi" w:hAnsiTheme="minorHAnsi" w:cstheme="minorBidi"/>
          <w:lang w:val="en-US"/>
        </w:rPr>
        <w:t xml:space="preserve">that direct shipping incurs lower objective </w:t>
      </w:r>
      <w:r w:rsidR="00632686">
        <w:rPr>
          <w:rFonts w:asciiTheme="minorHAnsi" w:eastAsiaTheme="minorHAnsi" w:hAnsiTheme="minorHAnsi" w:cstheme="minorBidi"/>
          <w:lang w:val="en-US"/>
        </w:rPr>
        <w:t>function values</w:t>
      </w:r>
      <w:r w:rsidR="004849F2">
        <w:rPr>
          <w:rFonts w:asciiTheme="minorHAnsi" w:eastAsiaTheme="minorHAnsi" w:hAnsiTheme="minorHAnsi" w:cstheme="minorBidi"/>
          <w:lang w:val="en-US"/>
        </w:rPr>
        <w:t xml:space="preserve"> than the cross-docking strategy for the majority of test cases. However, there are several instances for which this is not the case. </w:t>
      </w:r>
      <w:r w:rsidR="0071295C">
        <w:rPr>
          <w:rFonts w:asciiTheme="minorHAnsi" w:eastAsiaTheme="minorHAnsi" w:hAnsiTheme="minorHAnsi" w:cstheme="minorBidi"/>
          <w:lang w:val="en-US"/>
        </w:rPr>
        <w:t xml:space="preserve">In the following, we report some indicative cases where the VRPCD appears to be more cost effective, in pursuit of useful conclusions regarding the relative suitability of the two </w:t>
      </w:r>
      <w:r w:rsidR="00632686">
        <w:rPr>
          <w:rFonts w:asciiTheme="minorHAnsi" w:eastAsiaTheme="minorHAnsi" w:hAnsiTheme="minorHAnsi" w:cstheme="minorBidi"/>
          <w:lang w:val="en-US"/>
        </w:rPr>
        <w:t>strategies. The</w:t>
      </w:r>
      <w:r w:rsidR="0071295C">
        <w:rPr>
          <w:rFonts w:asciiTheme="minorHAnsi" w:eastAsiaTheme="minorHAnsi" w:hAnsiTheme="minorHAnsi" w:cstheme="minorBidi"/>
          <w:lang w:val="en-US"/>
        </w:rPr>
        <w:t xml:space="preserve"> VRPCD is a winner for instance subsets belonging </w:t>
      </w:r>
      <w:r w:rsidR="000926DE">
        <w:rPr>
          <w:rFonts w:asciiTheme="minorHAnsi" w:eastAsiaTheme="minorHAnsi" w:hAnsiTheme="minorHAnsi" w:cstheme="minorBidi"/>
          <w:lang w:val="en-US"/>
        </w:rPr>
        <w:t xml:space="preserve">to the </w:t>
      </w:r>
      <w:r w:rsidR="000926DE" w:rsidRPr="00B94EFE">
        <w:rPr>
          <w:rFonts w:asciiTheme="minorHAnsi" w:eastAsiaTheme="minorHAnsi" w:hAnsiTheme="minorHAnsi" w:cstheme="minorBidi"/>
          <w:i/>
          <w:lang w:val="en-US"/>
        </w:rPr>
        <w:t>DS</w:t>
      </w:r>
      <w:r w:rsidR="000926DE">
        <w:rPr>
          <w:rFonts w:asciiTheme="minorHAnsi" w:eastAsiaTheme="minorHAnsi" w:hAnsiTheme="minorHAnsi" w:cstheme="minorBidi"/>
          <w:lang w:val="en-US"/>
        </w:rPr>
        <w:t xml:space="preserve"> and </w:t>
      </w:r>
      <w:r w:rsidR="000926DE" w:rsidRPr="00B94EFE">
        <w:rPr>
          <w:rFonts w:asciiTheme="minorHAnsi" w:eastAsiaTheme="minorHAnsi" w:hAnsiTheme="minorHAnsi" w:cstheme="minorBidi"/>
          <w:i/>
          <w:lang w:val="en-US"/>
        </w:rPr>
        <w:t xml:space="preserve">DCL </w:t>
      </w:r>
      <w:r w:rsidR="000926DE">
        <w:rPr>
          <w:rFonts w:asciiTheme="minorHAnsi" w:eastAsiaTheme="minorHAnsi" w:hAnsiTheme="minorHAnsi" w:cstheme="minorBidi"/>
          <w:lang w:val="en-US"/>
        </w:rPr>
        <w:t>class of pick</w:t>
      </w:r>
      <w:r w:rsidR="0071295C">
        <w:rPr>
          <w:rFonts w:asciiTheme="minorHAnsi" w:eastAsiaTheme="minorHAnsi" w:hAnsiTheme="minorHAnsi" w:cstheme="minorBidi"/>
          <w:lang w:val="en-US"/>
        </w:rPr>
        <w:t>up and delivery pair proximity, i.e.</w:t>
      </w:r>
      <w:r w:rsidR="00632686">
        <w:rPr>
          <w:rFonts w:asciiTheme="minorHAnsi" w:eastAsiaTheme="minorHAnsi" w:hAnsiTheme="minorHAnsi" w:cstheme="minorBidi"/>
          <w:lang w:val="en-US"/>
        </w:rPr>
        <w:t>,</w:t>
      </w:r>
      <w:r w:rsidR="0071295C">
        <w:rPr>
          <w:rFonts w:asciiTheme="minorHAnsi" w:eastAsiaTheme="minorHAnsi" w:hAnsiTheme="minorHAnsi" w:cstheme="minorBidi"/>
          <w:lang w:val="en-US"/>
        </w:rPr>
        <w:t xml:space="preserve"> </w:t>
      </w:r>
      <w:r w:rsidR="00A952D3">
        <w:rPr>
          <w:rFonts w:asciiTheme="minorHAnsi" w:eastAsiaTheme="minorHAnsi" w:hAnsiTheme="minorHAnsi" w:cstheme="minorBidi"/>
          <w:lang w:val="en-US"/>
        </w:rPr>
        <w:t>cases</w:t>
      </w:r>
      <w:r w:rsidR="0071295C">
        <w:rPr>
          <w:rFonts w:asciiTheme="minorHAnsi" w:eastAsiaTheme="minorHAnsi" w:hAnsiTheme="minorHAnsi" w:cstheme="minorBidi"/>
          <w:lang w:val="en-US"/>
        </w:rPr>
        <w:t xml:space="preserve"> where the pick-up and delivery nodes of a pair are </w:t>
      </w:r>
      <w:r w:rsidR="00A952D3">
        <w:rPr>
          <w:rFonts w:asciiTheme="minorHAnsi" w:eastAsiaTheme="minorHAnsi" w:hAnsiTheme="minorHAnsi" w:cstheme="minorBidi"/>
          <w:lang w:val="en-US"/>
        </w:rPr>
        <w:t xml:space="preserve">far </w:t>
      </w:r>
      <w:r w:rsidR="0071295C">
        <w:rPr>
          <w:rFonts w:asciiTheme="minorHAnsi" w:eastAsiaTheme="minorHAnsi" w:hAnsiTheme="minorHAnsi" w:cstheme="minorBidi"/>
          <w:lang w:val="en-US"/>
        </w:rPr>
        <w:t>from each other.</w:t>
      </w:r>
      <w:r w:rsidR="00A952D3">
        <w:rPr>
          <w:rFonts w:asciiTheme="minorHAnsi" w:eastAsiaTheme="minorHAnsi" w:hAnsiTheme="minorHAnsi" w:cstheme="minorBidi"/>
          <w:lang w:val="en-US"/>
        </w:rPr>
        <w:t xml:space="preserve"> These instance subsets mainly involve a centrally </w:t>
      </w:r>
      <w:r w:rsidR="006F3C5A">
        <w:rPr>
          <w:rFonts w:asciiTheme="minorHAnsi" w:eastAsiaTheme="minorHAnsi" w:hAnsiTheme="minorHAnsi" w:cstheme="minorBidi"/>
          <w:lang w:val="en-US"/>
        </w:rPr>
        <w:t>positioned</w:t>
      </w:r>
      <w:r w:rsidR="00A952D3">
        <w:rPr>
          <w:rFonts w:asciiTheme="minorHAnsi" w:eastAsiaTheme="minorHAnsi" w:hAnsiTheme="minorHAnsi" w:cstheme="minorBidi"/>
          <w:lang w:val="en-US"/>
        </w:rPr>
        <w:t xml:space="preserve"> depot (</w:t>
      </w:r>
      <w:bookmarkStart w:id="508" w:name="OLE_LINK663"/>
      <w:bookmarkStart w:id="509" w:name="OLE_LINK673"/>
      <w:bookmarkStart w:id="510" w:name="OLE_LINK674"/>
      <w:r w:rsidR="00A952D3">
        <w:rPr>
          <w:rFonts w:asciiTheme="minorHAnsi" w:eastAsiaTheme="minorHAnsi" w:hAnsiTheme="minorHAnsi" w:cstheme="minorBidi"/>
          <w:lang w:val="en-US"/>
        </w:rPr>
        <w:t xml:space="preserve">level </w:t>
      </w:r>
      <w:r w:rsidR="00A952D3" w:rsidRPr="00B94EFE">
        <w:rPr>
          <w:rFonts w:asciiTheme="minorHAnsi" w:eastAsiaTheme="minorHAnsi" w:hAnsiTheme="minorHAnsi" w:cstheme="minorBidi"/>
          <w:i/>
          <w:lang w:val="en-US"/>
        </w:rPr>
        <w:t>D1</w:t>
      </w:r>
      <w:bookmarkEnd w:id="508"/>
      <w:bookmarkEnd w:id="509"/>
      <w:bookmarkEnd w:id="510"/>
      <w:r w:rsidR="00A952D3">
        <w:rPr>
          <w:rFonts w:asciiTheme="minorHAnsi" w:eastAsiaTheme="minorHAnsi" w:hAnsiTheme="minorHAnsi" w:cstheme="minorBidi"/>
          <w:lang w:val="en-US"/>
        </w:rPr>
        <w:t>)</w:t>
      </w:r>
      <w:r w:rsidR="00E07FC7">
        <w:rPr>
          <w:rFonts w:asciiTheme="minorHAnsi" w:eastAsiaTheme="minorHAnsi" w:hAnsiTheme="minorHAnsi" w:cstheme="minorBidi"/>
          <w:lang w:val="en-US"/>
        </w:rPr>
        <w:t>.</w:t>
      </w:r>
      <w:r w:rsidR="00632686">
        <w:rPr>
          <w:rFonts w:asciiTheme="minorHAnsi" w:eastAsiaTheme="minorHAnsi" w:hAnsiTheme="minorHAnsi" w:cstheme="minorBidi"/>
          <w:lang w:val="en-US"/>
        </w:rPr>
        <w:t xml:space="preserve"> For example, the instances </w:t>
      </w:r>
      <w:r w:rsidR="00E07FC7">
        <w:rPr>
          <w:rFonts w:asciiTheme="minorHAnsi" w:eastAsiaTheme="minorHAnsi" w:hAnsiTheme="minorHAnsi" w:cstheme="minorBidi"/>
          <w:lang w:val="en-US"/>
        </w:rPr>
        <w:t xml:space="preserve">contained within the </w:t>
      </w:r>
      <w:r w:rsidR="00E07FC7" w:rsidRPr="00737FE8">
        <w:rPr>
          <w:rFonts w:asciiTheme="minorHAnsi" w:hAnsiTheme="minorHAnsi"/>
          <w:lang w:val="en-US"/>
        </w:rPr>
        <w:t>Q</w:t>
      </w:r>
      <w:r w:rsidR="00AC1471">
        <w:rPr>
          <w:rFonts w:asciiTheme="minorHAnsi" w:hAnsiTheme="minorHAnsi"/>
          <w:lang w:val="en-US"/>
        </w:rPr>
        <w:t>1</w:t>
      </w:r>
      <w:r w:rsidR="00E07FC7" w:rsidRPr="00737FE8">
        <w:rPr>
          <w:rFonts w:asciiTheme="minorHAnsi" w:hAnsiTheme="minorHAnsi"/>
          <w:lang w:val="en-US"/>
        </w:rPr>
        <w:t>T</w:t>
      </w:r>
      <w:r w:rsidR="00984DF5">
        <w:rPr>
          <w:rFonts w:asciiTheme="minorHAnsi" w:hAnsiTheme="minorHAnsi"/>
          <w:lang w:val="en-US"/>
        </w:rPr>
        <w:t>1</w:t>
      </w:r>
      <w:r w:rsidR="00E07FC7" w:rsidRPr="00737FE8">
        <w:rPr>
          <w:rFonts w:asciiTheme="minorHAnsi" w:hAnsiTheme="minorHAnsi"/>
          <w:lang w:val="en-US"/>
        </w:rPr>
        <w:t>s</w:t>
      </w:r>
      <w:r w:rsidR="00984DF5">
        <w:rPr>
          <w:rFonts w:asciiTheme="minorHAnsi" w:hAnsiTheme="minorHAnsi"/>
          <w:lang w:val="en-US"/>
        </w:rPr>
        <w:t>1</w:t>
      </w:r>
      <w:r w:rsidR="00E07FC7" w:rsidRPr="00737FE8">
        <w:rPr>
          <w:rFonts w:asciiTheme="minorHAnsi" w:hAnsiTheme="minorHAnsi"/>
          <w:lang w:val="en-US"/>
        </w:rPr>
        <w:t>D</w:t>
      </w:r>
      <w:r w:rsidR="00984DF5">
        <w:rPr>
          <w:rFonts w:asciiTheme="minorHAnsi" w:hAnsiTheme="minorHAnsi"/>
          <w:lang w:val="en-US"/>
        </w:rPr>
        <w:t>1</w:t>
      </w:r>
      <w:r w:rsidR="00E07FC7">
        <w:rPr>
          <w:rFonts w:asciiTheme="minorHAnsi" w:hAnsiTheme="minorHAnsi"/>
          <w:lang w:val="en-US"/>
        </w:rPr>
        <w:t xml:space="preserve"> and </w:t>
      </w:r>
      <w:r w:rsidR="00E07FC7" w:rsidRPr="00737FE8">
        <w:rPr>
          <w:rFonts w:asciiTheme="minorHAnsi" w:hAnsiTheme="minorHAnsi"/>
          <w:lang w:val="en-US"/>
        </w:rPr>
        <w:t>Q</w:t>
      </w:r>
      <w:r w:rsidR="00984DF5">
        <w:rPr>
          <w:rFonts w:asciiTheme="minorHAnsi" w:hAnsiTheme="minorHAnsi"/>
          <w:lang w:val="en-US"/>
        </w:rPr>
        <w:t>3</w:t>
      </w:r>
      <w:r w:rsidR="00E07FC7" w:rsidRPr="00737FE8">
        <w:rPr>
          <w:rFonts w:asciiTheme="minorHAnsi" w:hAnsiTheme="minorHAnsi"/>
          <w:lang w:val="en-US"/>
        </w:rPr>
        <w:t>T</w:t>
      </w:r>
      <w:r w:rsidR="00984DF5">
        <w:rPr>
          <w:rFonts w:asciiTheme="minorHAnsi" w:hAnsiTheme="minorHAnsi"/>
          <w:lang w:val="en-US"/>
        </w:rPr>
        <w:t>3</w:t>
      </w:r>
      <w:r w:rsidR="00E07FC7" w:rsidRPr="00737FE8">
        <w:rPr>
          <w:rFonts w:asciiTheme="minorHAnsi" w:hAnsiTheme="minorHAnsi"/>
          <w:lang w:val="en-US"/>
        </w:rPr>
        <w:t>s</w:t>
      </w:r>
      <w:r w:rsidR="00984DF5">
        <w:rPr>
          <w:rFonts w:asciiTheme="minorHAnsi" w:hAnsiTheme="minorHAnsi"/>
          <w:lang w:val="en-US"/>
        </w:rPr>
        <w:t>3</w:t>
      </w:r>
      <w:r w:rsidR="00E07FC7" w:rsidRPr="00737FE8">
        <w:rPr>
          <w:rFonts w:asciiTheme="minorHAnsi" w:hAnsiTheme="minorHAnsi"/>
          <w:lang w:val="en-US"/>
        </w:rPr>
        <w:t>D</w:t>
      </w:r>
      <w:r w:rsidR="00984DF5">
        <w:rPr>
          <w:rFonts w:asciiTheme="minorHAnsi" w:hAnsiTheme="minorHAnsi"/>
          <w:lang w:val="en-US"/>
        </w:rPr>
        <w:t>1</w:t>
      </w:r>
      <w:r w:rsidR="00E07FC7">
        <w:rPr>
          <w:rFonts w:asciiTheme="minorHAnsi" w:hAnsiTheme="minorHAnsi"/>
          <w:lang w:val="en-US"/>
        </w:rPr>
        <w:t xml:space="preserve"> rows of Table</w:t>
      </w:r>
      <w:r w:rsidR="00984DF5">
        <w:rPr>
          <w:rFonts w:asciiTheme="minorHAnsi" w:hAnsiTheme="minorHAnsi"/>
          <w:lang w:val="en-US"/>
        </w:rPr>
        <w:t>s</w:t>
      </w:r>
      <w:r w:rsidR="00E07FC7">
        <w:rPr>
          <w:rFonts w:asciiTheme="minorHAnsi" w:hAnsiTheme="minorHAnsi"/>
          <w:lang w:val="en-US"/>
        </w:rPr>
        <w:t xml:space="preserve"> </w:t>
      </w:r>
      <w:r w:rsidR="00B841F9">
        <w:rPr>
          <w:rFonts w:asciiTheme="minorHAnsi" w:hAnsiTheme="minorHAnsi"/>
          <w:lang w:val="en-US"/>
        </w:rPr>
        <w:t xml:space="preserve">1, 2, 3 and </w:t>
      </w:r>
      <w:r w:rsidR="00984DF5">
        <w:rPr>
          <w:rFonts w:asciiTheme="minorHAnsi" w:hAnsiTheme="minorHAnsi"/>
          <w:lang w:val="en-US"/>
        </w:rPr>
        <w:t>4</w:t>
      </w:r>
      <w:r w:rsidR="00AC1471">
        <w:rPr>
          <w:rFonts w:asciiTheme="minorHAnsi" w:hAnsiTheme="minorHAnsi"/>
          <w:lang w:val="en-US"/>
        </w:rPr>
        <w:t xml:space="preserve"> </w:t>
      </w:r>
      <w:r w:rsidR="00B841F9">
        <w:rPr>
          <w:rFonts w:asciiTheme="minorHAnsi" w:hAnsiTheme="minorHAnsi"/>
          <w:lang w:val="en-US"/>
        </w:rPr>
        <w:t xml:space="preserve">of Appendix A </w:t>
      </w:r>
      <w:r w:rsidR="00AC1471">
        <w:rPr>
          <w:rFonts w:asciiTheme="minorHAnsi" w:hAnsiTheme="minorHAnsi"/>
          <w:lang w:val="en-US"/>
        </w:rPr>
        <w:t>(</w:t>
      </w:r>
      <w:proofErr w:type="spellStart"/>
      <w:r w:rsidR="00AC1471">
        <w:rPr>
          <w:rFonts w:asciiTheme="minorHAnsi" w:hAnsiTheme="minorHAnsi"/>
          <w:lang w:val="en-US"/>
        </w:rPr>
        <w:t>i.e</w:t>
      </w:r>
      <w:proofErr w:type="spellEnd"/>
      <w:r w:rsidR="00AC1471">
        <w:rPr>
          <w:rFonts w:asciiTheme="minorHAnsi" w:hAnsiTheme="minorHAnsi"/>
          <w:lang w:val="en-US"/>
        </w:rPr>
        <w:t>, the instances with all possible combinations of levels</w:t>
      </w:r>
      <w:r w:rsidR="00CC3D67">
        <w:rPr>
          <w:rFonts w:asciiTheme="minorHAnsi" w:hAnsiTheme="minorHAnsi"/>
          <w:lang w:val="en-US"/>
        </w:rPr>
        <w:t xml:space="preserve"> </w:t>
      </w:r>
      <w:r w:rsidR="00632686">
        <w:rPr>
          <w:rFonts w:asciiTheme="minorHAnsi" w:hAnsiTheme="minorHAnsi"/>
          <w:lang w:val="en-US"/>
        </w:rPr>
        <w:t>for</w:t>
      </w:r>
      <w:r w:rsidR="00CC3D67">
        <w:rPr>
          <w:rFonts w:asciiTheme="minorHAnsi" w:hAnsiTheme="minorHAnsi"/>
          <w:lang w:val="en-US"/>
        </w:rPr>
        <w:t xml:space="preserve"> parameters </w:t>
      </w:r>
      <w:r w:rsidR="00CC3D67" w:rsidRPr="00CC3D67">
        <w:rPr>
          <w:rFonts w:asciiTheme="minorHAnsi" w:hAnsiTheme="minorHAnsi"/>
          <w:i/>
          <w:lang w:val="en-US"/>
        </w:rPr>
        <w:t>Q</w:t>
      </w:r>
      <w:r w:rsidR="00CC3D67">
        <w:rPr>
          <w:rFonts w:asciiTheme="minorHAnsi" w:hAnsiTheme="minorHAnsi"/>
          <w:lang w:val="en-US"/>
        </w:rPr>
        <w:t xml:space="preserve">, </w:t>
      </w:r>
      <w:r w:rsidR="00CC3D67" w:rsidRPr="00CC3D67">
        <w:rPr>
          <w:rFonts w:asciiTheme="minorHAnsi" w:hAnsiTheme="minorHAnsi"/>
          <w:i/>
          <w:lang w:val="en-US"/>
        </w:rPr>
        <w:t xml:space="preserve">T </w:t>
      </w:r>
      <w:r w:rsidR="00CC3D67">
        <w:rPr>
          <w:rFonts w:asciiTheme="minorHAnsi" w:hAnsiTheme="minorHAnsi"/>
          <w:lang w:val="en-US"/>
        </w:rPr>
        <w:t xml:space="preserve">and </w:t>
      </w:r>
      <w:r w:rsidR="00CC3D67" w:rsidRPr="00CC3D67">
        <w:rPr>
          <w:rFonts w:asciiTheme="minorHAnsi" w:hAnsiTheme="minorHAnsi"/>
          <w:i/>
          <w:lang w:val="en-US"/>
        </w:rPr>
        <w:t>s</w:t>
      </w:r>
      <w:r w:rsidR="00AC1471">
        <w:rPr>
          <w:rFonts w:asciiTheme="minorHAnsi" w:hAnsiTheme="minorHAnsi"/>
          <w:lang w:val="en-US"/>
        </w:rPr>
        <w:t>)</w:t>
      </w:r>
      <w:r w:rsidR="006F3C5A">
        <w:rPr>
          <w:rFonts w:asciiTheme="minorHAnsi" w:hAnsiTheme="minorHAnsi"/>
          <w:lang w:val="en-US"/>
        </w:rPr>
        <w:t>,</w:t>
      </w:r>
      <w:r w:rsidR="00E07FC7">
        <w:rPr>
          <w:rFonts w:asciiTheme="minorHAnsi" w:hAnsiTheme="minorHAnsi"/>
          <w:lang w:val="en-US"/>
        </w:rPr>
        <w:t xml:space="preserve"> which involve the depot placed in the centre of the grid</w:t>
      </w:r>
      <w:r w:rsidR="006F3C5A">
        <w:rPr>
          <w:rFonts w:asciiTheme="minorHAnsi" w:hAnsiTheme="minorHAnsi"/>
          <w:lang w:val="en-US"/>
        </w:rPr>
        <w:t>,</w:t>
      </w:r>
      <w:r w:rsidR="0072595C">
        <w:rPr>
          <w:rFonts w:asciiTheme="minorHAnsi" w:hAnsiTheme="minorHAnsi"/>
          <w:lang w:val="en-US"/>
        </w:rPr>
        <w:t xml:space="preserve"> is associated with </w:t>
      </w:r>
      <w:r w:rsidR="00632686">
        <w:rPr>
          <w:rFonts w:asciiTheme="minorHAnsi" w:hAnsiTheme="minorHAnsi"/>
          <w:lang w:val="en-US"/>
        </w:rPr>
        <w:t xml:space="preserve">better </w:t>
      </w:r>
      <w:r w:rsidR="0072595C">
        <w:rPr>
          <w:rFonts w:asciiTheme="minorHAnsi" w:hAnsiTheme="minorHAnsi"/>
          <w:lang w:val="en-US"/>
        </w:rPr>
        <w:t xml:space="preserve">VRPCD </w:t>
      </w:r>
      <w:r w:rsidR="00632686">
        <w:rPr>
          <w:rFonts w:asciiTheme="minorHAnsi" w:hAnsiTheme="minorHAnsi"/>
          <w:lang w:val="en-US"/>
        </w:rPr>
        <w:t xml:space="preserve">solution </w:t>
      </w:r>
      <w:r w:rsidR="0072595C">
        <w:rPr>
          <w:rFonts w:asciiTheme="minorHAnsi" w:hAnsiTheme="minorHAnsi"/>
          <w:lang w:val="en-US"/>
        </w:rPr>
        <w:t>scores</w:t>
      </w:r>
      <w:r w:rsidR="006F3C5A">
        <w:rPr>
          <w:rFonts w:asciiTheme="minorHAnsi" w:hAnsiTheme="minorHAnsi"/>
          <w:lang w:val="en-US"/>
        </w:rPr>
        <w:t>,</w:t>
      </w:r>
      <w:r w:rsidR="0072595C">
        <w:rPr>
          <w:rFonts w:asciiTheme="minorHAnsi" w:hAnsiTheme="minorHAnsi"/>
          <w:lang w:val="en-US"/>
        </w:rPr>
        <w:t xml:space="preserve"> for </w:t>
      </w:r>
      <w:bookmarkStart w:id="511" w:name="OLE_LINK695"/>
      <w:bookmarkStart w:id="512" w:name="OLE_LINK700"/>
      <w:bookmarkStart w:id="513" w:name="OLE_LINK701"/>
      <w:r w:rsidR="0072595C">
        <w:rPr>
          <w:rFonts w:asciiTheme="minorHAnsi" w:hAnsiTheme="minorHAnsi"/>
          <w:lang w:val="en-US"/>
        </w:rPr>
        <w:t xml:space="preserve">all </w:t>
      </w:r>
      <w:r w:rsidR="0072595C" w:rsidRPr="00B94EFE">
        <w:rPr>
          <w:rFonts w:asciiTheme="minorHAnsi" w:hAnsiTheme="minorHAnsi"/>
          <w:i/>
          <w:lang w:val="en-US"/>
        </w:rPr>
        <w:t>RC, C, DS,</w:t>
      </w:r>
      <w:r w:rsidR="0072595C">
        <w:rPr>
          <w:rFonts w:asciiTheme="minorHAnsi" w:hAnsiTheme="minorHAnsi"/>
          <w:lang w:val="en-US"/>
        </w:rPr>
        <w:t xml:space="preserve"> and </w:t>
      </w:r>
      <w:r w:rsidR="0072595C" w:rsidRPr="00B94EFE">
        <w:rPr>
          <w:rFonts w:asciiTheme="minorHAnsi" w:hAnsiTheme="minorHAnsi"/>
          <w:i/>
          <w:lang w:val="en-US"/>
        </w:rPr>
        <w:t>DCL</w:t>
      </w:r>
      <w:r w:rsidR="0072595C">
        <w:rPr>
          <w:rFonts w:asciiTheme="minorHAnsi" w:hAnsiTheme="minorHAnsi"/>
          <w:lang w:val="en-US"/>
        </w:rPr>
        <w:t xml:space="preserve"> </w:t>
      </w:r>
      <w:bookmarkEnd w:id="511"/>
      <w:bookmarkEnd w:id="512"/>
      <w:bookmarkEnd w:id="513"/>
      <w:r w:rsidR="00632686">
        <w:rPr>
          <w:rFonts w:asciiTheme="minorHAnsi" w:hAnsiTheme="minorHAnsi"/>
          <w:lang w:val="en-US"/>
        </w:rPr>
        <w:t>classes</w:t>
      </w:r>
      <w:r w:rsidR="0072595C">
        <w:rPr>
          <w:rFonts w:asciiTheme="minorHAnsi" w:hAnsiTheme="minorHAnsi"/>
          <w:lang w:val="en-US"/>
        </w:rPr>
        <w:t xml:space="preserve">. </w:t>
      </w:r>
      <w:r w:rsidR="00865952">
        <w:rPr>
          <w:rFonts w:asciiTheme="minorHAnsi" w:hAnsiTheme="minorHAnsi"/>
          <w:lang w:val="en-US"/>
        </w:rPr>
        <w:t xml:space="preserve">This is also observed </w:t>
      </w:r>
      <w:r w:rsidR="002C36F4">
        <w:rPr>
          <w:rFonts w:asciiTheme="minorHAnsi" w:eastAsiaTheme="minorHAnsi" w:hAnsiTheme="minorHAnsi" w:cstheme="minorBidi"/>
          <w:lang w:val="en-US"/>
        </w:rPr>
        <w:t xml:space="preserve">for </w:t>
      </w:r>
      <w:r w:rsidR="003312FA">
        <w:rPr>
          <w:rFonts w:asciiTheme="minorHAnsi" w:eastAsiaTheme="minorHAnsi" w:hAnsiTheme="minorHAnsi" w:cstheme="minorBidi"/>
          <w:lang w:val="en-US"/>
        </w:rPr>
        <w:t>some high capacity</w:t>
      </w:r>
      <w:r w:rsidR="002C36F4">
        <w:rPr>
          <w:rFonts w:asciiTheme="minorHAnsi" w:eastAsiaTheme="minorHAnsi" w:hAnsiTheme="minorHAnsi" w:cstheme="minorBidi"/>
          <w:lang w:val="en-US"/>
        </w:rPr>
        <w:t xml:space="preserve"> </w:t>
      </w:r>
      <w:r w:rsidR="00FC350B">
        <w:rPr>
          <w:rFonts w:asciiTheme="minorHAnsi" w:eastAsiaTheme="minorHAnsi" w:hAnsiTheme="minorHAnsi" w:cstheme="minorBidi"/>
          <w:lang w:val="en-US"/>
        </w:rPr>
        <w:t>instances</w:t>
      </w:r>
      <w:r w:rsidR="002C36F4">
        <w:rPr>
          <w:rFonts w:asciiTheme="minorHAnsi" w:eastAsiaTheme="minorHAnsi" w:hAnsiTheme="minorHAnsi" w:cstheme="minorBidi"/>
          <w:lang w:val="en-US"/>
        </w:rPr>
        <w:t xml:space="preserve"> </w:t>
      </w:r>
      <w:r w:rsidR="003312FA">
        <w:rPr>
          <w:rFonts w:asciiTheme="minorHAnsi" w:eastAsiaTheme="minorHAnsi" w:hAnsiTheme="minorHAnsi" w:cstheme="minorBidi"/>
          <w:lang w:val="en-US"/>
        </w:rPr>
        <w:t xml:space="preserve">(capacity level </w:t>
      </w:r>
      <w:r w:rsidR="003312FA" w:rsidRPr="00B94EFE">
        <w:rPr>
          <w:rFonts w:asciiTheme="minorHAnsi" w:eastAsiaTheme="minorHAnsi" w:hAnsiTheme="minorHAnsi" w:cstheme="minorBidi"/>
          <w:i/>
          <w:lang w:val="en-US"/>
        </w:rPr>
        <w:t>Q3</w:t>
      </w:r>
      <w:r w:rsidR="003312FA">
        <w:rPr>
          <w:rFonts w:asciiTheme="minorHAnsi" w:eastAsiaTheme="minorHAnsi" w:hAnsiTheme="minorHAnsi" w:cstheme="minorBidi"/>
          <w:lang w:val="en-US"/>
        </w:rPr>
        <w:t xml:space="preserve">), </w:t>
      </w:r>
      <w:r w:rsidR="002C36F4">
        <w:rPr>
          <w:rFonts w:asciiTheme="minorHAnsi" w:eastAsiaTheme="minorHAnsi" w:hAnsiTheme="minorHAnsi" w:cstheme="minorBidi"/>
          <w:lang w:val="en-US"/>
        </w:rPr>
        <w:t xml:space="preserve">where the depot is not placed in the centre of the grid (levels </w:t>
      </w:r>
      <w:r w:rsidR="00F97B17" w:rsidRPr="00B94EFE">
        <w:rPr>
          <w:rFonts w:asciiTheme="minorHAnsi" w:eastAsiaTheme="minorHAnsi" w:hAnsiTheme="minorHAnsi" w:cstheme="minorBidi"/>
          <w:i/>
          <w:lang w:val="en-US"/>
        </w:rPr>
        <w:t>D2, D3</w:t>
      </w:r>
      <w:r w:rsidR="00F97B17">
        <w:rPr>
          <w:rFonts w:asciiTheme="minorHAnsi" w:eastAsiaTheme="minorHAnsi" w:hAnsiTheme="minorHAnsi" w:cstheme="minorBidi"/>
          <w:lang w:val="en-US"/>
        </w:rPr>
        <w:t xml:space="preserve">). </w:t>
      </w:r>
      <w:r w:rsidR="00494CF3">
        <w:rPr>
          <w:rFonts w:asciiTheme="minorHAnsi" w:eastAsiaTheme="minorHAnsi" w:hAnsiTheme="minorHAnsi" w:cstheme="minorBidi"/>
          <w:lang w:val="en-US"/>
        </w:rPr>
        <w:t xml:space="preserve">More specifically, for </w:t>
      </w:r>
      <w:r w:rsidR="007C1712">
        <w:rPr>
          <w:rFonts w:asciiTheme="minorHAnsi" w:eastAsiaTheme="minorHAnsi" w:hAnsiTheme="minorHAnsi" w:cstheme="minorBidi"/>
          <w:lang w:val="en-US"/>
        </w:rPr>
        <w:t>many problem instances of the</w:t>
      </w:r>
      <w:r w:rsidR="00494CF3">
        <w:rPr>
          <w:rFonts w:asciiTheme="minorHAnsi" w:eastAsiaTheme="minorHAnsi" w:hAnsiTheme="minorHAnsi" w:cstheme="minorBidi"/>
          <w:lang w:val="en-US"/>
        </w:rPr>
        <w:t xml:space="preserve"> instance</w:t>
      </w:r>
      <w:r w:rsidR="00632686">
        <w:rPr>
          <w:rFonts w:asciiTheme="minorHAnsi" w:eastAsiaTheme="minorHAnsi" w:hAnsiTheme="minorHAnsi" w:cstheme="minorBidi"/>
          <w:lang w:val="en-US"/>
        </w:rPr>
        <w:t>s</w:t>
      </w:r>
      <w:r w:rsidR="00FC350B" w:rsidRPr="00FC350B">
        <w:rPr>
          <w:rFonts w:ascii="Calibri" w:hAnsi="Calibri" w:cs="Calibri"/>
          <w:lang w:val="en-US"/>
        </w:rPr>
        <w:t xml:space="preserve"> </w:t>
      </w:r>
      <w:bookmarkStart w:id="514" w:name="OLE_LINK684"/>
      <w:bookmarkStart w:id="515" w:name="OLE_LINK694"/>
      <w:r w:rsidR="00494CF3" w:rsidRPr="00CD295A">
        <w:rPr>
          <w:rFonts w:ascii="Calibri" w:hAnsi="Calibri" w:cs="Calibri"/>
          <w:lang w:val="en-US"/>
        </w:rPr>
        <w:t>Q</w:t>
      </w:r>
      <w:r w:rsidR="007C1712">
        <w:rPr>
          <w:rFonts w:ascii="Calibri" w:hAnsi="Calibri" w:cs="Calibri"/>
          <w:lang w:val="en-US"/>
        </w:rPr>
        <w:t>2</w:t>
      </w:r>
      <w:r w:rsidR="00494CF3" w:rsidRPr="00CD295A">
        <w:rPr>
          <w:rFonts w:ascii="Calibri" w:hAnsi="Calibri" w:cs="Calibri"/>
          <w:lang w:val="en-US"/>
        </w:rPr>
        <w:t>T</w:t>
      </w:r>
      <w:r w:rsidR="00494CF3">
        <w:rPr>
          <w:rFonts w:ascii="Calibri" w:hAnsi="Calibri" w:cs="Calibri"/>
          <w:lang w:val="en-US"/>
        </w:rPr>
        <w:t>1</w:t>
      </w:r>
      <w:r w:rsidR="00494CF3" w:rsidRPr="00CD295A">
        <w:rPr>
          <w:rFonts w:ascii="Calibri" w:hAnsi="Calibri" w:cs="Calibri"/>
          <w:lang w:val="en-US"/>
        </w:rPr>
        <w:t>s</w:t>
      </w:r>
      <w:r w:rsidR="00494CF3">
        <w:rPr>
          <w:rFonts w:ascii="Calibri" w:hAnsi="Calibri" w:cs="Calibri"/>
          <w:lang w:val="en-US"/>
        </w:rPr>
        <w:t>1</w:t>
      </w:r>
      <w:r w:rsidR="00494CF3" w:rsidRPr="00CD295A">
        <w:rPr>
          <w:rFonts w:ascii="Calibri" w:hAnsi="Calibri" w:cs="Calibri"/>
          <w:lang w:val="en-US"/>
        </w:rPr>
        <w:t>D</w:t>
      </w:r>
      <w:r w:rsidR="00494CF3">
        <w:rPr>
          <w:rFonts w:ascii="Calibri" w:hAnsi="Calibri" w:cs="Calibri"/>
          <w:lang w:val="en-US"/>
        </w:rPr>
        <w:t>2</w:t>
      </w:r>
      <w:r w:rsidR="00494CF3">
        <w:rPr>
          <w:rFonts w:asciiTheme="minorHAnsi" w:hAnsiTheme="minorHAnsi"/>
          <w:lang w:val="en-US"/>
        </w:rPr>
        <w:t xml:space="preserve"> to</w:t>
      </w:r>
      <w:r w:rsidR="00494CF3" w:rsidRPr="0083433D">
        <w:rPr>
          <w:rFonts w:ascii="Calibri" w:hAnsi="Calibri" w:cs="Calibri"/>
          <w:lang w:val="en-US"/>
        </w:rPr>
        <w:t xml:space="preserve"> </w:t>
      </w:r>
      <w:r w:rsidR="00494CF3" w:rsidRPr="00CD295A">
        <w:rPr>
          <w:rFonts w:ascii="Calibri" w:hAnsi="Calibri" w:cs="Calibri"/>
          <w:lang w:val="en-US"/>
        </w:rPr>
        <w:t>Q</w:t>
      </w:r>
      <w:r w:rsidR="00494CF3">
        <w:rPr>
          <w:rFonts w:ascii="Calibri" w:hAnsi="Calibri" w:cs="Calibri"/>
          <w:lang w:val="en-US"/>
        </w:rPr>
        <w:t>3</w:t>
      </w:r>
      <w:r w:rsidR="00494CF3" w:rsidRPr="00CD295A">
        <w:rPr>
          <w:rFonts w:ascii="Calibri" w:hAnsi="Calibri" w:cs="Calibri"/>
          <w:lang w:val="en-US"/>
        </w:rPr>
        <w:t>T</w:t>
      </w:r>
      <w:r w:rsidR="00494CF3">
        <w:rPr>
          <w:rFonts w:ascii="Calibri" w:hAnsi="Calibri" w:cs="Calibri"/>
          <w:lang w:val="en-US"/>
        </w:rPr>
        <w:t>3</w:t>
      </w:r>
      <w:r w:rsidR="00494CF3" w:rsidRPr="00CD295A">
        <w:rPr>
          <w:rFonts w:ascii="Calibri" w:hAnsi="Calibri" w:cs="Calibri"/>
          <w:lang w:val="en-US"/>
        </w:rPr>
        <w:t>s</w:t>
      </w:r>
      <w:r w:rsidR="00494CF3">
        <w:rPr>
          <w:rFonts w:ascii="Calibri" w:hAnsi="Calibri" w:cs="Calibri"/>
          <w:lang w:val="en-US"/>
        </w:rPr>
        <w:t>3</w:t>
      </w:r>
      <w:r w:rsidR="00494CF3" w:rsidRPr="00CD295A">
        <w:rPr>
          <w:rFonts w:ascii="Calibri" w:hAnsi="Calibri" w:cs="Calibri"/>
          <w:lang w:val="en-US"/>
        </w:rPr>
        <w:t>D</w:t>
      </w:r>
      <w:r w:rsidR="00494CF3">
        <w:rPr>
          <w:rFonts w:ascii="Calibri" w:hAnsi="Calibri" w:cs="Calibri"/>
          <w:lang w:val="en-US"/>
        </w:rPr>
        <w:t xml:space="preserve">2 and </w:t>
      </w:r>
      <w:r w:rsidR="00FC350B" w:rsidRPr="00CD295A">
        <w:rPr>
          <w:rFonts w:ascii="Calibri" w:hAnsi="Calibri" w:cs="Calibri"/>
          <w:lang w:val="en-US"/>
        </w:rPr>
        <w:t>Q</w:t>
      </w:r>
      <w:r w:rsidR="007C1712">
        <w:rPr>
          <w:rFonts w:ascii="Calibri" w:hAnsi="Calibri" w:cs="Calibri"/>
          <w:lang w:val="en-US"/>
        </w:rPr>
        <w:t>2</w:t>
      </w:r>
      <w:r w:rsidR="00FC350B" w:rsidRPr="00CD295A">
        <w:rPr>
          <w:rFonts w:ascii="Calibri" w:hAnsi="Calibri" w:cs="Calibri"/>
          <w:lang w:val="en-US"/>
        </w:rPr>
        <w:t>T</w:t>
      </w:r>
      <w:r w:rsidR="00FC350B">
        <w:rPr>
          <w:rFonts w:ascii="Calibri" w:hAnsi="Calibri" w:cs="Calibri"/>
          <w:lang w:val="en-US"/>
        </w:rPr>
        <w:t>1</w:t>
      </w:r>
      <w:r w:rsidR="00FC350B" w:rsidRPr="00CD295A">
        <w:rPr>
          <w:rFonts w:ascii="Calibri" w:hAnsi="Calibri" w:cs="Calibri"/>
          <w:lang w:val="en-US"/>
        </w:rPr>
        <w:t>s</w:t>
      </w:r>
      <w:r w:rsidR="00FC350B">
        <w:rPr>
          <w:rFonts w:ascii="Calibri" w:hAnsi="Calibri" w:cs="Calibri"/>
          <w:lang w:val="en-US"/>
        </w:rPr>
        <w:t>1</w:t>
      </w:r>
      <w:r w:rsidR="00FC350B" w:rsidRPr="00CD295A">
        <w:rPr>
          <w:rFonts w:ascii="Calibri" w:hAnsi="Calibri" w:cs="Calibri"/>
          <w:lang w:val="en-US"/>
        </w:rPr>
        <w:t>D</w:t>
      </w:r>
      <w:r w:rsidR="00FC350B">
        <w:rPr>
          <w:rFonts w:ascii="Calibri" w:hAnsi="Calibri" w:cs="Calibri"/>
          <w:lang w:val="en-US"/>
        </w:rPr>
        <w:t>3</w:t>
      </w:r>
      <w:r w:rsidR="00FC350B">
        <w:rPr>
          <w:rFonts w:asciiTheme="minorHAnsi" w:hAnsiTheme="minorHAnsi"/>
          <w:lang w:val="en-US"/>
        </w:rPr>
        <w:t xml:space="preserve"> to</w:t>
      </w:r>
      <w:r w:rsidR="00FC350B" w:rsidRPr="0083433D">
        <w:rPr>
          <w:rFonts w:ascii="Calibri" w:hAnsi="Calibri" w:cs="Calibri"/>
          <w:lang w:val="en-US"/>
        </w:rPr>
        <w:t xml:space="preserve"> </w:t>
      </w:r>
      <w:r w:rsidR="00FC350B" w:rsidRPr="00CD295A">
        <w:rPr>
          <w:rFonts w:ascii="Calibri" w:hAnsi="Calibri" w:cs="Calibri"/>
          <w:lang w:val="en-US"/>
        </w:rPr>
        <w:t>Q</w:t>
      </w:r>
      <w:r w:rsidR="00FC350B">
        <w:rPr>
          <w:rFonts w:ascii="Calibri" w:hAnsi="Calibri" w:cs="Calibri"/>
          <w:lang w:val="en-US"/>
        </w:rPr>
        <w:t>3</w:t>
      </w:r>
      <w:r w:rsidR="00FC350B" w:rsidRPr="00CD295A">
        <w:rPr>
          <w:rFonts w:ascii="Calibri" w:hAnsi="Calibri" w:cs="Calibri"/>
          <w:lang w:val="en-US"/>
        </w:rPr>
        <w:t>T</w:t>
      </w:r>
      <w:r w:rsidR="00FC350B">
        <w:rPr>
          <w:rFonts w:ascii="Calibri" w:hAnsi="Calibri" w:cs="Calibri"/>
          <w:lang w:val="en-US"/>
        </w:rPr>
        <w:t>3</w:t>
      </w:r>
      <w:r w:rsidR="00FC350B" w:rsidRPr="00CD295A">
        <w:rPr>
          <w:rFonts w:ascii="Calibri" w:hAnsi="Calibri" w:cs="Calibri"/>
          <w:lang w:val="en-US"/>
        </w:rPr>
        <w:t>s</w:t>
      </w:r>
      <w:r w:rsidR="00FC350B">
        <w:rPr>
          <w:rFonts w:ascii="Calibri" w:hAnsi="Calibri" w:cs="Calibri"/>
          <w:lang w:val="en-US"/>
        </w:rPr>
        <w:t>3</w:t>
      </w:r>
      <w:r w:rsidR="00FC350B" w:rsidRPr="00CD295A">
        <w:rPr>
          <w:rFonts w:ascii="Calibri" w:hAnsi="Calibri" w:cs="Calibri"/>
          <w:lang w:val="en-US"/>
        </w:rPr>
        <w:t>D</w:t>
      </w:r>
      <w:r w:rsidR="00FC350B">
        <w:rPr>
          <w:rFonts w:ascii="Calibri" w:hAnsi="Calibri" w:cs="Calibri"/>
          <w:lang w:val="en-US"/>
        </w:rPr>
        <w:t>3</w:t>
      </w:r>
      <w:bookmarkEnd w:id="514"/>
      <w:bookmarkEnd w:id="515"/>
      <w:r w:rsidR="00494CF3">
        <w:rPr>
          <w:rFonts w:ascii="Calibri" w:hAnsi="Calibri" w:cs="Calibri"/>
          <w:lang w:val="en-US"/>
        </w:rPr>
        <w:t xml:space="preserve">, and for </w:t>
      </w:r>
      <w:r w:rsidR="00494CF3">
        <w:rPr>
          <w:rFonts w:asciiTheme="minorHAnsi" w:hAnsiTheme="minorHAnsi"/>
          <w:lang w:val="en-US"/>
        </w:rPr>
        <w:t xml:space="preserve">all </w:t>
      </w:r>
      <w:r w:rsidR="00494CF3" w:rsidRPr="00B94EFE">
        <w:rPr>
          <w:rFonts w:asciiTheme="minorHAnsi" w:hAnsiTheme="minorHAnsi"/>
          <w:i/>
          <w:lang w:val="en-US"/>
        </w:rPr>
        <w:t>RC</w:t>
      </w:r>
      <w:r w:rsidR="00494CF3" w:rsidRPr="00B94EFE">
        <w:rPr>
          <w:rFonts w:asciiTheme="minorHAnsi" w:hAnsiTheme="minorHAnsi"/>
          <w:lang w:val="en-US"/>
        </w:rPr>
        <w:t>,</w:t>
      </w:r>
      <w:r w:rsidR="00494CF3" w:rsidRPr="00B94EFE">
        <w:rPr>
          <w:rFonts w:asciiTheme="minorHAnsi" w:hAnsiTheme="minorHAnsi"/>
          <w:i/>
          <w:lang w:val="en-US"/>
        </w:rPr>
        <w:t xml:space="preserve"> C</w:t>
      </w:r>
      <w:r w:rsidR="00494CF3" w:rsidRPr="00B94EFE">
        <w:rPr>
          <w:rFonts w:asciiTheme="minorHAnsi" w:hAnsiTheme="minorHAnsi"/>
          <w:lang w:val="en-US"/>
        </w:rPr>
        <w:t>,</w:t>
      </w:r>
      <w:r w:rsidR="00494CF3" w:rsidRPr="00B94EFE">
        <w:rPr>
          <w:rFonts w:asciiTheme="minorHAnsi" w:hAnsiTheme="minorHAnsi"/>
          <w:i/>
          <w:lang w:val="en-US"/>
        </w:rPr>
        <w:t xml:space="preserve"> DS</w:t>
      </w:r>
      <w:r w:rsidR="00494CF3" w:rsidRPr="00B94EFE">
        <w:rPr>
          <w:rFonts w:asciiTheme="minorHAnsi" w:hAnsiTheme="minorHAnsi"/>
          <w:lang w:val="en-US"/>
        </w:rPr>
        <w:t>,</w:t>
      </w:r>
      <w:r w:rsidR="00494CF3">
        <w:rPr>
          <w:rFonts w:asciiTheme="minorHAnsi" w:hAnsiTheme="minorHAnsi"/>
          <w:lang w:val="en-US"/>
        </w:rPr>
        <w:t xml:space="preserve"> and </w:t>
      </w:r>
      <w:r w:rsidR="00494CF3" w:rsidRPr="00B94EFE">
        <w:rPr>
          <w:rFonts w:asciiTheme="minorHAnsi" w:hAnsiTheme="minorHAnsi"/>
          <w:i/>
          <w:lang w:val="en-US"/>
        </w:rPr>
        <w:t>DC</w:t>
      </w:r>
      <w:r w:rsidR="00494CF3">
        <w:rPr>
          <w:rFonts w:asciiTheme="minorHAnsi" w:hAnsiTheme="minorHAnsi"/>
          <w:lang w:val="en-US"/>
        </w:rPr>
        <w:t xml:space="preserve">L </w:t>
      </w:r>
      <w:r w:rsidR="003312FA">
        <w:rPr>
          <w:rFonts w:asciiTheme="minorHAnsi" w:hAnsiTheme="minorHAnsi"/>
          <w:lang w:val="en-US"/>
        </w:rPr>
        <w:t xml:space="preserve">classes, the </w:t>
      </w:r>
      <w:r w:rsidR="00C61B19">
        <w:rPr>
          <w:rFonts w:asciiTheme="minorHAnsi" w:hAnsiTheme="minorHAnsi"/>
          <w:lang w:val="en-US"/>
        </w:rPr>
        <w:t>cross-docking strategy exhi</w:t>
      </w:r>
      <w:r w:rsidR="00BD3852">
        <w:rPr>
          <w:rFonts w:asciiTheme="minorHAnsi" w:hAnsiTheme="minorHAnsi"/>
          <w:lang w:val="en-US"/>
        </w:rPr>
        <w:t xml:space="preserve">bits a better performance than </w:t>
      </w:r>
      <w:r w:rsidR="00632686">
        <w:rPr>
          <w:rFonts w:asciiTheme="minorHAnsi" w:hAnsiTheme="minorHAnsi"/>
          <w:lang w:val="en-US"/>
        </w:rPr>
        <w:t>the direct shipping strategy</w:t>
      </w:r>
      <w:r w:rsidR="003312FA">
        <w:rPr>
          <w:rFonts w:asciiTheme="minorHAnsi" w:hAnsiTheme="minorHAnsi"/>
          <w:lang w:val="en-US"/>
        </w:rPr>
        <w:t>.</w:t>
      </w:r>
    </w:p>
    <w:p w:rsidR="008B0C57" w:rsidRPr="00531714" w:rsidRDefault="00210FDB" w:rsidP="00D204A3">
      <w:pPr>
        <w:pStyle w:val="RoadefTexte"/>
        <w:tabs>
          <w:tab w:val="left" w:pos="720"/>
        </w:tabs>
        <w:spacing w:line="276" w:lineRule="auto"/>
        <w:ind w:firstLine="0"/>
        <w:outlineLvl w:val="0"/>
        <w:rPr>
          <w:rFonts w:asciiTheme="minorHAnsi" w:eastAsiaTheme="minorHAnsi" w:hAnsiTheme="minorHAnsi" w:cstheme="minorBidi"/>
          <w:i/>
          <w:lang w:val="en-US"/>
        </w:rPr>
      </w:pPr>
      <w:r w:rsidRPr="00531714">
        <w:rPr>
          <w:rFonts w:asciiTheme="minorHAnsi" w:eastAsiaTheme="minorHAnsi" w:hAnsiTheme="minorHAnsi" w:cstheme="minorBidi"/>
          <w:i/>
          <w:lang w:val="en-US"/>
        </w:rPr>
        <w:lastRenderedPageBreak/>
        <w:t>Assessment of Dir</w:t>
      </w:r>
      <w:r w:rsidR="00B841F9">
        <w:rPr>
          <w:rFonts w:asciiTheme="minorHAnsi" w:eastAsiaTheme="minorHAnsi" w:hAnsiTheme="minorHAnsi" w:cstheme="minorBidi"/>
          <w:i/>
          <w:lang w:val="en-US"/>
        </w:rPr>
        <w:t>ect Shipping and Cross-Docking s</w:t>
      </w:r>
      <w:r w:rsidRPr="00531714">
        <w:rPr>
          <w:rFonts w:asciiTheme="minorHAnsi" w:eastAsiaTheme="minorHAnsi" w:hAnsiTheme="minorHAnsi" w:cstheme="minorBidi"/>
          <w:i/>
          <w:lang w:val="en-US"/>
        </w:rPr>
        <w:t>trategies on Data Set II</w:t>
      </w:r>
    </w:p>
    <w:p w:rsidR="00F00EA5" w:rsidRDefault="00F81759" w:rsidP="00F00EA5">
      <w:pPr>
        <w:pStyle w:val="RoadefTexte"/>
        <w:tabs>
          <w:tab w:val="left" w:pos="720"/>
        </w:tabs>
        <w:spacing w:after="0" w:line="276" w:lineRule="auto"/>
        <w:ind w:firstLine="0"/>
        <w:outlineLvl w:val="0"/>
        <w:rPr>
          <w:rFonts w:asciiTheme="minorHAnsi" w:eastAsiaTheme="minorHAnsi" w:hAnsiTheme="minorHAnsi" w:cstheme="minorBidi"/>
          <w:i/>
          <w:lang w:val="en-US"/>
        </w:rPr>
      </w:pPr>
      <w:bookmarkStart w:id="516" w:name="OLE_LINK227"/>
      <w:bookmarkStart w:id="517" w:name="OLE_LINK228"/>
      <w:commentRangeStart w:id="518"/>
      <w:r w:rsidRPr="00531714">
        <w:rPr>
          <w:rFonts w:asciiTheme="minorHAnsi" w:eastAsiaTheme="minorHAnsi" w:hAnsiTheme="minorHAnsi" w:cstheme="minorBidi"/>
          <w:i/>
          <w:lang w:val="en-US"/>
        </w:rPr>
        <w:t>Experimental</w:t>
      </w:r>
      <w:commentRangeEnd w:id="518"/>
      <w:r w:rsidRPr="00531714">
        <w:rPr>
          <w:i/>
        </w:rPr>
        <w:commentReference w:id="518"/>
      </w:r>
      <w:r w:rsidR="00B841F9">
        <w:rPr>
          <w:rFonts w:asciiTheme="minorHAnsi" w:eastAsiaTheme="minorHAnsi" w:hAnsiTheme="minorHAnsi" w:cstheme="minorBidi"/>
          <w:i/>
          <w:lang w:val="en-US"/>
        </w:rPr>
        <w:t xml:space="preserve"> setup and c</w:t>
      </w:r>
      <w:r w:rsidRPr="00531714">
        <w:rPr>
          <w:rFonts w:asciiTheme="minorHAnsi" w:eastAsiaTheme="minorHAnsi" w:hAnsiTheme="minorHAnsi" w:cstheme="minorBidi"/>
          <w:i/>
          <w:lang w:val="en-US"/>
        </w:rPr>
        <w:t>haracteristics of Data Set II</w:t>
      </w:r>
    </w:p>
    <w:p w:rsidR="007241C2" w:rsidRPr="00F00EA5" w:rsidRDefault="007241C2" w:rsidP="00F00EA5">
      <w:pPr>
        <w:pStyle w:val="RoadefTexte"/>
        <w:tabs>
          <w:tab w:val="left" w:pos="720"/>
        </w:tabs>
        <w:spacing w:after="0" w:line="276" w:lineRule="auto"/>
        <w:ind w:firstLine="0"/>
        <w:outlineLvl w:val="0"/>
        <w:rPr>
          <w:rFonts w:asciiTheme="minorHAnsi" w:eastAsiaTheme="minorHAnsi" w:hAnsiTheme="minorHAnsi" w:cstheme="minorBidi"/>
          <w:i/>
          <w:lang w:val="en-US"/>
        </w:rPr>
      </w:pPr>
      <w:r>
        <w:rPr>
          <w:rFonts w:asciiTheme="minorHAnsi" w:eastAsiaTheme="minorHAnsi" w:hAnsiTheme="minorHAnsi" w:cstheme="minorBidi"/>
          <w:lang w:val="en-US"/>
        </w:rPr>
        <w:t xml:space="preserve">The results of </w:t>
      </w:r>
      <w:r w:rsidR="003936A4">
        <w:rPr>
          <w:rFonts w:asciiTheme="minorHAnsi" w:eastAsiaTheme="minorHAnsi" w:hAnsiTheme="minorHAnsi" w:cstheme="minorBidi"/>
          <w:lang w:val="en-US"/>
        </w:rPr>
        <w:t>the previous section</w:t>
      </w:r>
      <w:r>
        <w:rPr>
          <w:rFonts w:asciiTheme="minorHAnsi" w:eastAsiaTheme="minorHAnsi" w:hAnsiTheme="minorHAnsi" w:cstheme="minorBidi"/>
          <w:lang w:val="en-US"/>
        </w:rPr>
        <w:t xml:space="preserve"> involved test problems (Data </w:t>
      </w:r>
      <w:r w:rsidR="005F635A">
        <w:rPr>
          <w:rFonts w:asciiTheme="minorHAnsi" w:eastAsiaTheme="minorHAnsi" w:hAnsiTheme="minorHAnsi" w:cstheme="minorBidi"/>
          <w:lang w:val="en-US"/>
        </w:rPr>
        <w:t xml:space="preserve">Set </w:t>
      </w:r>
      <w:r>
        <w:rPr>
          <w:rFonts w:asciiTheme="minorHAnsi" w:eastAsiaTheme="minorHAnsi" w:hAnsiTheme="minorHAnsi" w:cstheme="minorBidi"/>
          <w:lang w:val="en-US"/>
        </w:rPr>
        <w:t xml:space="preserve">I) with unique pick-up and delivery nodes (i.e. suppliers are linked to customers with a one-to-one relation). </w:t>
      </w:r>
      <w:r w:rsidR="005F635A">
        <w:rPr>
          <w:rFonts w:asciiTheme="minorHAnsi" w:eastAsiaTheme="minorHAnsi" w:hAnsiTheme="minorHAnsi" w:cstheme="minorBidi"/>
          <w:lang w:val="en-US"/>
        </w:rPr>
        <w:t xml:space="preserve">In this </w:t>
      </w:r>
      <w:r w:rsidR="003936A4">
        <w:rPr>
          <w:rFonts w:asciiTheme="minorHAnsi" w:eastAsiaTheme="minorHAnsi" w:hAnsiTheme="minorHAnsi" w:cstheme="minorBidi"/>
          <w:lang w:val="en-US"/>
        </w:rPr>
        <w:t>s</w:t>
      </w:r>
      <w:r w:rsidR="005F635A">
        <w:rPr>
          <w:rFonts w:asciiTheme="minorHAnsi" w:eastAsiaTheme="minorHAnsi" w:hAnsiTheme="minorHAnsi" w:cstheme="minorBidi"/>
          <w:lang w:val="en-US"/>
        </w:rPr>
        <w:t>ection</w:t>
      </w:r>
      <w:r>
        <w:rPr>
          <w:rFonts w:asciiTheme="minorHAnsi" w:eastAsiaTheme="minorHAnsi" w:hAnsiTheme="minorHAnsi" w:cstheme="minorBidi"/>
          <w:lang w:val="en-US"/>
        </w:rPr>
        <w:t xml:space="preserve">, we present the results of Data </w:t>
      </w:r>
      <w:r w:rsidR="005F635A">
        <w:rPr>
          <w:rFonts w:asciiTheme="minorHAnsi" w:eastAsiaTheme="minorHAnsi" w:hAnsiTheme="minorHAnsi" w:cstheme="minorBidi"/>
          <w:lang w:val="en-US"/>
        </w:rPr>
        <w:t xml:space="preserve">Set </w:t>
      </w:r>
      <w:r>
        <w:rPr>
          <w:rFonts w:asciiTheme="minorHAnsi" w:eastAsiaTheme="minorHAnsi" w:hAnsiTheme="minorHAnsi" w:cstheme="minorBidi"/>
          <w:lang w:val="en-US"/>
        </w:rPr>
        <w:t xml:space="preserve">II </w:t>
      </w:r>
      <w:r w:rsidR="005F635A">
        <w:rPr>
          <w:rFonts w:asciiTheme="minorHAnsi" w:eastAsiaTheme="minorHAnsi" w:hAnsiTheme="minorHAnsi" w:cstheme="minorBidi"/>
          <w:lang w:val="en-US"/>
        </w:rPr>
        <w:t>that contains problem</w:t>
      </w:r>
      <w:r>
        <w:rPr>
          <w:rFonts w:asciiTheme="minorHAnsi" w:eastAsiaTheme="minorHAnsi" w:hAnsiTheme="minorHAnsi" w:cstheme="minorBidi"/>
          <w:lang w:val="en-US"/>
        </w:rPr>
        <w:t xml:space="preserve"> instances </w:t>
      </w:r>
      <w:r w:rsidR="005F635A">
        <w:rPr>
          <w:rFonts w:asciiTheme="minorHAnsi" w:eastAsiaTheme="minorHAnsi" w:hAnsiTheme="minorHAnsi" w:cstheme="minorBidi"/>
          <w:lang w:val="en-US"/>
        </w:rPr>
        <w:t>with</w:t>
      </w:r>
      <w:r>
        <w:rPr>
          <w:rFonts w:asciiTheme="minorHAnsi" w:eastAsiaTheme="minorHAnsi" w:hAnsiTheme="minorHAnsi" w:cstheme="minorBidi"/>
          <w:lang w:val="en-US"/>
        </w:rPr>
        <w:t xml:space="preserve"> a many-to-many mapping between</w:t>
      </w:r>
      <w:r w:rsidR="005F635A">
        <w:rPr>
          <w:rFonts w:asciiTheme="minorHAnsi" w:eastAsiaTheme="minorHAnsi" w:hAnsiTheme="minorHAnsi" w:cstheme="minorBidi"/>
          <w:lang w:val="en-US"/>
        </w:rPr>
        <w:t xml:space="preserve"> suppliers and customers</w:t>
      </w:r>
      <w:r>
        <w:rPr>
          <w:rFonts w:asciiTheme="minorHAnsi" w:eastAsiaTheme="minorHAnsi" w:hAnsiTheme="minorHAnsi" w:cstheme="minorBidi"/>
          <w:lang w:val="en-US"/>
        </w:rPr>
        <w:t xml:space="preserve"> and thus the various requests may </w:t>
      </w:r>
      <w:r w:rsidR="005F635A">
        <w:rPr>
          <w:rFonts w:asciiTheme="minorHAnsi" w:eastAsiaTheme="minorHAnsi" w:hAnsiTheme="minorHAnsi" w:cstheme="minorBidi"/>
          <w:lang w:val="en-US"/>
        </w:rPr>
        <w:t xml:space="preserve">often </w:t>
      </w:r>
      <w:r>
        <w:rPr>
          <w:rFonts w:asciiTheme="minorHAnsi" w:eastAsiaTheme="minorHAnsi" w:hAnsiTheme="minorHAnsi" w:cstheme="minorBidi"/>
          <w:lang w:val="en-US"/>
        </w:rPr>
        <w:t xml:space="preserve">involve co-located nodes. </w:t>
      </w:r>
    </w:p>
    <w:p w:rsidR="00F00EA5" w:rsidRDefault="00F00EA5" w:rsidP="00F00EA5">
      <w:pPr>
        <w:pStyle w:val="RoadefTexte"/>
        <w:tabs>
          <w:tab w:val="left" w:pos="720"/>
        </w:tabs>
        <w:spacing w:after="0" w:line="276" w:lineRule="auto"/>
        <w:ind w:firstLine="0"/>
        <w:rPr>
          <w:rFonts w:asciiTheme="minorHAnsi" w:hAnsiTheme="minorHAnsi"/>
          <w:lang w:val="en-US"/>
        </w:rPr>
      </w:pPr>
      <w:r>
        <w:rPr>
          <w:rFonts w:asciiTheme="minorHAnsi" w:eastAsiaTheme="minorHAnsi" w:hAnsiTheme="minorHAnsi" w:cstheme="minorBidi"/>
          <w:lang w:val="en-US"/>
        </w:rPr>
        <w:tab/>
      </w:r>
      <w:r w:rsidR="005F635A">
        <w:rPr>
          <w:rFonts w:asciiTheme="minorHAnsi" w:eastAsiaTheme="minorHAnsi" w:hAnsiTheme="minorHAnsi" w:cstheme="minorBidi"/>
          <w:lang w:val="en-US"/>
        </w:rPr>
        <w:t xml:space="preserve">For the </w:t>
      </w:r>
      <w:r w:rsidR="00467580">
        <w:rPr>
          <w:rFonts w:asciiTheme="minorHAnsi" w:eastAsiaTheme="minorHAnsi" w:hAnsiTheme="minorHAnsi" w:cstheme="minorBidi"/>
          <w:lang w:val="en-US"/>
        </w:rPr>
        <w:t>construct</w:t>
      </w:r>
      <w:r w:rsidR="005F635A">
        <w:rPr>
          <w:rFonts w:asciiTheme="minorHAnsi" w:eastAsiaTheme="minorHAnsi" w:hAnsiTheme="minorHAnsi" w:cstheme="minorBidi"/>
          <w:lang w:val="en-US"/>
        </w:rPr>
        <w:t>ion</w:t>
      </w:r>
      <w:r w:rsidR="00467580">
        <w:rPr>
          <w:rFonts w:asciiTheme="minorHAnsi" w:eastAsiaTheme="minorHAnsi" w:hAnsiTheme="minorHAnsi" w:cstheme="minorBidi"/>
          <w:lang w:val="en-US"/>
        </w:rPr>
        <w:t xml:space="preserve"> </w:t>
      </w:r>
      <w:r w:rsidR="005F635A">
        <w:rPr>
          <w:rFonts w:asciiTheme="minorHAnsi" w:eastAsiaTheme="minorHAnsi" w:hAnsiTheme="minorHAnsi" w:cstheme="minorBidi"/>
          <w:lang w:val="en-US"/>
        </w:rPr>
        <w:t xml:space="preserve">of problem instances for </w:t>
      </w:r>
      <w:r w:rsidR="00467580">
        <w:rPr>
          <w:rFonts w:asciiTheme="minorHAnsi" w:eastAsiaTheme="minorHAnsi" w:hAnsiTheme="minorHAnsi" w:cstheme="minorBidi"/>
          <w:lang w:val="en-US"/>
        </w:rPr>
        <w:t>the Data Set II we ha</w:t>
      </w:r>
      <w:r w:rsidR="005F635A">
        <w:rPr>
          <w:rFonts w:asciiTheme="minorHAnsi" w:eastAsiaTheme="minorHAnsi" w:hAnsiTheme="minorHAnsi" w:cstheme="minorBidi"/>
          <w:lang w:val="en-US"/>
        </w:rPr>
        <w:t>ve used the following rationale.</w:t>
      </w:r>
      <w:r w:rsidR="00467580">
        <w:rPr>
          <w:rFonts w:asciiTheme="minorHAnsi" w:eastAsiaTheme="minorHAnsi" w:hAnsiTheme="minorHAnsi" w:cstheme="minorBidi"/>
          <w:lang w:val="en-US"/>
        </w:rPr>
        <w:t xml:space="preserve"> </w:t>
      </w:r>
      <w:proofErr w:type="gramStart"/>
      <w:r w:rsidR="00467580">
        <w:rPr>
          <w:rFonts w:asciiTheme="minorHAnsi" w:eastAsiaTheme="minorHAnsi" w:hAnsiTheme="minorHAnsi" w:cstheme="minorBidi"/>
          <w:lang w:val="en-US"/>
        </w:rPr>
        <w:t xml:space="preserve">Firstly, we consider two instance sets </w:t>
      </w:r>
      <w:r w:rsidR="00467580" w:rsidRPr="005F25AC">
        <w:rPr>
          <w:rFonts w:asciiTheme="minorHAnsi" w:eastAsiaTheme="minorHAnsi" w:hAnsiTheme="minorHAnsi" w:cstheme="minorBidi"/>
          <w:i/>
          <w:lang w:val="en-US"/>
        </w:rPr>
        <w:t>P’</w:t>
      </w:r>
      <w:r w:rsidR="00467580">
        <w:rPr>
          <w:rFonts w:asciiTheme="minorHAnsi" w:eastAsiaTheme="minorHAnsi" w:hAnsiTheme="minorHAnsi" w:cstheme="minorBidi"/>
          <w:lang w:val="en-US"/>
        </w:rPr>
        <w:t xml:space="preserve"> and </w:t>
      </w:r>
      <w:r w:rsidR="00B21A62" w:rsidRPr="005F25AC">
        <w:rPr>
          <w:rFonts w:asciiTheme="minorHAnsi" w:eastAsiaTheme="minorHAnsi" w:hAnsiTheme="minorHAnsi" w:cstheme="minorBidi"/>
          <w:i/>
          <w:lang w:val="en-US"/>
        </w:rPr>
        <w:t>D</w:t>
      </w:r>
      <w:r w:rsidR="00467580" w:rsidRPr="005F25AC">
        <w:rPr>
          <w:rFonts w:asciiTheme="minorHAnsi" w:eastAsiaTheme="minorHAnsi" w:hAnsiTheme="minorHAnsi" w:cstheme="minorBidi"/>
          <w:i/>
          <w:lang w:val="en-US"/>
        </w:rPr>
        <w:t>’</w:t>
      </w:r>
      <w:r w:rsidR="005F635A">
        <w:rPr>
          <w:rFonts w:asciiTheme="minorHAnsi" w:eastAsiaTheme="minorHAnsi" w:hAnsiTheme="minorHAnsi" w:cstheme="minorBidi"/>
          <w:lang w:val="en-US"/>
        </w:rPr>
        <w:t xml:space="preserve"> that </w:t>
      </w:r>
      <w:r w:rsidR="00467580">
        <w:rPr>
          <w:rFonts w:asciiTheme="minorHAnsi" w:eastAsiaTheme="minorHAnsi" w:hAnsiTheme="minorHAnsi" w:cstheme="minorBidi"/>
          <w:lang w:val="en-US"/>
        </w:rPr>
        <w:t>correspon</w:t>
      </w:r>
      <w:r w:rsidR="007C75A5">
        <w:rPr>
          <w:rFonts w:asciiTheme="minorHAnsi" w:eastAsiaTheme="minorHAnsi" w:hAnsiTheme="minorHAnsi" w:cstheme="minorBidi"/>
          <w:lang w:val="en-US"/>
        </w:rPr>
        <w:t xml:space="preserve">d to the particular </w:t>
      </w:r>
      <w:r w:rsidR="005F635A">
        <w:rPr>
          <w:rFonts w:asciiTheme="minorHAnsi" w:eastAsiaTheme="minorHAnsi" w:hAnsiTheme="minorHAnsi" w:cstheme="minorBidi"/>
          <w:lang w:val="en-US"/>
        </w:rPr>
        <w:t xml:space="preserve">supplier and </w:t>
      </w:r>
      <w:r w:rsidR="005F635A" w:rsidRPr="00B21A62">
        <w:rPr>
          <w:rFonts w:asciiTheme="minorHAnsi" w:eastAsiaTheme="minorHAnsi" w:hAnsiTheme="minorHAnsi" w:cstheme="minorBidi"/>
          <w:lang w:val="en-US"/>
        </w:rPr>
        <w:t xml:space="preserve">customer </w:t>
      </w:r>
      <w:r w:rsidR="007C75A5">
        <w:rPr>
          <w:rFonts w:asciiTheme="minorHAnsi" w:eastAsiaTheme="minorHAnsi" w:hAnsiTheme="minorHAnsi" w:cstheme="minorBidi"/>
          <w:lang w:val="en-US"/>
        </w:rPr>
        <w:t>locations</w:t>
      </w:r>
      <w:r w:rsidR="00467580" w:rsidRPr="00B21A62">
        <w:rPr>
          <w:rFonts w:asciiTheme="minorHAnsi" w:eastAsiaTheme="minorHAnsi" w:hAnsiTheme="minorHAnsi" w:cstheme="minorBidi"/>
          <w:lang w:val="en-US"/>
        </w:rPr>
        <w:t>, respectively.</w:t>
      </w:r>
      <w:proofErr w:type="gramEnd"/>
      <w:r w:rsidR="00975A71">
        <w:rPr>
          <w:rFonts w:asciiTheme="minorHAnsi" w:eastAsiaTheme="minorHAnsi" w:hAnsiTheme="minorHAnsi" w:cstheme="minorBidi"/>
          <w:lang w:val="en-US"/>
        </w:rPr>
        <w:t xml:space="preserve"> </w:t>
      </w:r>
      <w:proofErr w:type="gramStart"/>
      <w:r w:rsidR="00467580" w:rsidRPr="00B21A62">
        <w:rPr>
          <w:rFonts w:asciiTheme="minorHAnsi" w:eastAsiaTheme="minorHAnsi" w:hAnsiTheme="minorHAnsi" w:cstheme="minorBidi"/>
          <w:lang w:val="en-US"/>
        </w:rPr>
        <w:t xml:space="preserve">To generate the set of requests </w:t>
      </w:r>
      <w:r w:rsidR="00467580" w:rsidRPr="005F25AC">
        <w:rPr>
          <w:rFonts w:asciiTheme="minorHAnsi" w:eastAsiaTheme="minorHAnsi" w:hAnsiTheme="minorHAnsi" w:cstheme="minorBidi"/>
          <w:i/>
          <w:lang w:val="en-US"/>
        </w:rPr>
        <w:t>R</w:t>
      </w:r>
      <w:r w:rsidR="00B94EFE">
        <w:rPr>
          <w:rFonts w:asciiTheme="minorHAnsi" w:eastAsiaTheme="minorHAnsi" w:hAnsiTheme="minorHAnsi" w:cstheme="minorBidi"/>
          <w:i/>
          <w:lang w:val="en-US"/>
        </w:rPr>
        <w:t>,</w:t>
      </w:r>
      <w:r w:rsidR="00467580" w:rsidRPr="00B21A62">
        <w:rPr>
          <w:rFonts w:asciiTheme="minorHAnsi" w:eastAsiaTheme="minorHAnsi" w:hAnsiTheme="minorHAnsi" w:cstheme="minorBidi"/>
          <w:lang w:val="en-US"/>
        </w:rPr>
        <w:t xml:space="preserve"> and thus</w:t>
      </w:r>
      <w:r w:rsidR="00B94EFE">
        <w:rPr>
          <w:rFonts w:asciiTheme="minorHAnsi" w:eastAsiaTheme="minorHAnsi" w:hAnsiTheme="minorHAnsi" w:cstheme="minorBidi"/>
          <w:lang w:val="en-US"/>
        </w:rPr>
        <w:t>,</w:t>
      </w:r>
      <w:r w:rsidR="00467580" w:rsidRPr="00B21A62">
        <w:rPr>
          <w:rFonts w:asciiTheme="minorHAnsi" w:eastAsiaTheme="minorHAnsi" w:hAnsiTheme="minorHAnsi" w:cstheme="minorBidi"/>
          <w:lang w:val="en-US"/>
        </w:rPr>
        <w:t xml:space="preserve"> define the </w:t>
      </w:r>
      <w:r w:rsidR="00467580" w:rsidRPr="005F25AC">
        <w:rPr>
          <w:rFonts w:asciiTheme="minorHAnsi" w:eastAsiaTheme="minorHAnsi" w:hAnsiTheme="minorHAnsi" w:cstheme="minorBidi"/>
          <w:i/>
          <w:lang w:val="en-US"/>
        </w:rPr>
        <w:t>P</w:t>
      </w:r>
      <w:r w:rsidR="00467580" w:rsidRPr="00B21A62">
        <w:rPr>
          <w:rFonts w:asciiTheme="minorHAnsi" w:eastAsiaTheme="minorHAnsi" w:hAnsiTheme="minorHAnsi" w:cstheme="minorBidi"/>
          <w:lang w:val="en-US"/>
        </w:rPr>
        <w:t xml:space="preserve"> and</w:t>
      </w:r>
      <w:r w:rsidR="00B21A62">
        <w:rPr>
          <w:rFonts w:asciiTheme="minorHAnsi" w:eastAsiaTheme="minorHAnsi" w:hAnsiTheme="minorHAnsi" w:cstheme="minorBidi"/>
          <w:lang w:val="en-US"/>
        </w:rPr>
        <w:t xml:space="preserve"> </w:t>
      </w:r>
      <w:r w:rsidR="00B21A62" w:rsidRPr="005F25AC">
        <w:rPr>
          <w:rFonts w:asciiTheme="minorHAnsi" w:eastAsiaTheme="minorHAnsi" w:hAnsiTheme="minorHAnsi" w:cstheme="minorBidi"/>
          <w:i/>
          <w:lang w:val="en-US"/>
        </w:rPr>
        <w:t>D</w:t>
      </w:r>
      <w:r w:rsidR="00467580" w:rsidRPr="00B21A62">
        <w:rPr>
          <w:rFonts w:asciiTheme="minorHAnsi" w:eastAsiaTheme="minorHAnsi" w:hAnsiTheme="minorHAnsi" w:cstheme="minorBidi"/>
          <w:lang w:val="en-US"/>
        </w:rPr>
        <w:t xml:space="preserve"> node sets, we construct a demand matrix </w:t>
      </w:r>
      <w:proofErr w:type="spellStart"/>
      <w:r w:rsidR="005F25AC" w:rsidRPr="005F25AC">
        <w:rPr>
          <w:rFonts w:asciiTheme="minorHAnsi" w:eastAsiaTheme="minorHAnsi" w:hAnsiTheme="minorHAnsi" w:cstheme="minorBidi"/>
          <w:i/>
          <w:lang w:val="en-US"/>
        </w:rPr>
        <w:t>q</w:t>
      </w:r>
      <w:r w:rsidR="005F25AC" w:rsidRPr="005F25AC">
        <w:rPr>
          <w:rFonts w:asciiTheme="minorHAnsi" w:eastAsiaTheme="minorHAnsi" w:hAnsiTheme="minorHAnsi" w:cstheme="minorBidi"/>
          <w:i/>
          <w:vertAlign w:val="subscript"/>
          <w:lang w:val="en-US"/>
        </w:rPr>
        <w:t>ij</w:t>
      </w:r>
      <w:proofErr w:type="spellEnd"/>
      <w:r w:rsidR="005F25AC" w:rsidRPr="00B21A62">
        <w:rPr>
          <w:rFonts w:asciiTheme="minorHAnsi" w:eastAsiaTheme="minorHAnsi" w:hAnsiTheme="minorHAnsi" w:cstheme="minorBidi"/>
          <w:lang w:val="en-US"/>
        </w:rPr>
        <w:t xml:space="preserve"> </w:t>
      </w:r>
      <w:r w:rsidR="00467580" w:rsidRPr="00B21A62">
        <w:rPr>
          <w:rFonts w:asciiTheme="minorHAnsi" w:eastAsiaTheme="minorHAnsi" w:hAnsiTheme="minorHAnsi" w:cstheme="minorBidi"/>
          <w:lang w:val="en-US"/>
        </w:rPr>
        <w:t xml:space="preserve">for </w:t>
      </w:r>
      <w:bookmarkStart w:id="519" w:name="OLE_LINK458"/>
      <w:bookmarkStart w:id="520" w:name="OLE_LINK461"/>
      <w:bookmarkStart w:id="521" w:name="OLE_LINK494"/>
      <w:bookmarkStart w:id="522" w:name="OLE_LINK537"/>
      <w:bookmarkStart w:id="523" w:name="OLE_LINK583"/>
      <w:bookmarkStart w:id="524" w:name="OLE_LINK675"/>
      <w:proofErr w:type="spellStart"/>
      <w:r w:rsidR="00467580" w:rsidRPr="005F25AC">
        <w:rPr>
          <w:rFonts w:asciiTheme="minorHAnsi" w:eastAsiaTheme="minorHAnsi" w:hAnsiTheme="minorHAnsi" w:cstheme="minorBidi"/>
          <w:i/>
          <w:lang w:val="en-US"/>
        </w:rPr>
        <w:t>i</w:t>
      </w:r>
      <w:proofErr w:type="spellEnd"/>
      <w:r w:rsidR="00467580" w:rsidRPr="005F25AC">
        <w:rPr>
          <w:rFonts w:asciiTheme="minorHAnsi" w:eastAsiaTheme="minorHAnsi" w:hAnsiTheme="minorHAnsi" w:cstheme="minorBidi"/>
          <w:i/>
          <w:lang w:val="en-US"/>
        </w:rPr>
        <w:t xml:space="preserve"> </w:t>
      </w:r>
      <w:r w:rsidR="00467580" w:rsidRPr="005F25AC">
        <w:rPr>
          <w:rFonts w:ascii="Cambria Math" w:eastAsiaTheme="minorHAnsi" w:hAnsi="Cambria Math" w:cs="Cambria Math"/>
          <w:i/>
          <w:lang w:val="en-US"/>
        </w:rPr>
        <w:t>∈</w:t>
      </w:r>
      <w:r w:rsidR="00467580" w:rsidRPr="005F25AC">
        <w:rPr>
          <w:rFonts w:asciiTheme="minorHAnsi" w:eastAsiaTheme="minorHAnsi" w:hAnsiTheme="minorHAnsi" w:cstheme="minorBidi"/>
          <w:i/>
          <w:lang w:val="en-US"/>
        </w:rPr>
        <w:t xml:space="preserve"> </w:t>
      </w:r>
      <w:r w:rsidR="00B21A62" w:rsidRPr="005F25AC">
        <w:rPr>
          <w:rFonts w:asciiTheme="minorHAnsi" w:eastAsiaTheme="minorHAnsi" w:hAnsiTheme="minorHAnsi" w:cstheme="minorBidi"/>
          <w:i/>
          <w:lang w:val="en-US"/>
        </w:rPr>
        <w:t>P’</w:t>
      </w:r>
      <w:r w:rsidR="00467580" w:rsidRPr="00B21A62">
        <w:rPr>
          <w:rFonts w:asciiTheme="minorHAnsi" w:eastAsiaTheme="minorHAnsi" w:hAnsiTheme="minorHAnsi" w:cstheme="minorBidi"/>
          <w:lang w:val="en-US"/>
        </w:rPr>
        <w:t xml:space="preserve"> </w:t>
      </w:r>
      <w:bookmarkEnd w:id="519"/>
      <w:bookmarkEnd w:id="520"/>
      <w:bookmarkEnd w:id="521"/>
      <w:bookmarkEnd w:id="522"/>
      <w:bookmarkEnd w:id="523"/>
      <w:r w:rsidR="00467580" w:rsidRPr="00B21A62">
        <w:rPr>
          <w:rFonts w:asciiTheme="minorHAnsi" w:eastAsiaTheme="minorHAnsi" w:hAnsiTheme="minorHAnsi" w:cstheme="minorBidi"/>
          <w:lang w:val="en-US"/>
        </w:rPr>
        <w:t xml:space="preserve">and </w:t>
      </w:r>
      <w:bookmarkStart w:id="525" w:name="OLE_LINK584"/>
      <w:bookmarkStart w:id="526" w:name="OLE_LINK596"/>
      <w:r w:rsidR="00467580" w:rsidRPr="005F25AC">
        <w:rPr>
          <w:rFonts w:asciiTheme="minorHAnsi" w:eastAsiaTheme="minorHAnsi" w:hAnsiTheme="minorHAnsi" w:cstheme="minorBidi"/>
          <w:i/>
          <w:lang w:val="en-US"/>
        </w:rPr>
        <w:t xml:space="preserve">j </w:t>
      </w:r>
      <w:bookmarkStart w:id="527" w:name="OLE_LINK572"/>
      <w:bookmarkStart w:id="528" w:name="OLE_LINK573"/>
      <w:r w:rsidR="00467580" w:rsidRPr="005F25AC">
        <w:rPr>
          <w:rFonts w:ascii="Cambria Math" w:eastAsiaTheme="minorHAnsi" w:hAnsi="Cambria Math" w:cs="Cambria Math"/>
          <w:i/>
          <w:lang w:val="en-US"/>
        </w:rPr>
        <w:t>∈</w:t>
      </w:r>
      <w:r w:rsidR="00467580" w:rsidRPr="005F25AC">
        <w:rPr>
          <w:rFonts w:asciiTheme="minorHAnsi" w:eastAsiaTheme="minorHAnsi" w:hAnsiTheme="minorHAnsi" w:cstheme="minorBidi"/>
          <w:i/>
          <w:lang w:val="en-US"/>
        </w:rPr>
        <w:t xml:space="preserve"> </w:t>
      </w:r>
      <w:r w:rsidR="00B21A62" w:rsidRPr="005F25AC">
        <w:rPr>
          <w:rFonts w:asciiTheme="minorHAnsi" w:eastAsiaTheme="minorHAnsi" w:hAnsiTheme="minorHAnsi" w:cstheme="minorBidi"/>
          <w:i/>
          <w:lang w:val="en-US"/>
        </w:rPr>
        <w:t>D’</w:t>
      </w:r>
      <w:bookmarkEnd w:id="524"/>
      <w:bookmarkEnd w:id="525"/>
      <w:bookmarkEnd w:id="526"/>
      <w:bookmarkEnd w:id="527"/>
      <w:bookmarkEnd w:id="528"/>
      <w:r w:rsidR="00467580" w:rsidRPr="00B21A62">
        <w:rPr>
          <w:rFonts w:asciiTheme="minorHAnsi" w:eastAsiaTheme="minorHAnsi" w:hAnsiTheme="minorHAnsi" w:cstheme="minorBidi"/>
          <w:lang w:val="en-US"/>
        </w:rPr>
        <w:t>.</w:t>
      </w:r>
      <w:proofErr w:type="gramEnd"/>
      <w:r w:rsidR="00467580" w:rsidRPr="00B21A62">
        <w:rPr>
          <w:rFonts w:asciiTheme="minorHAnsi" w:eastAsiaTheme="minorHAnsi" w:hAnsiTheme="minorHAnsi" w:cstheme="minorBidi"/>
          <w:lang w:val="en-US"/>
        </w:rPr>
        <w:t xml:space="preserve"> The </w:t>
      </w:r>
      <w:proofErr w:type="spellStart"/>
      <w:r w:rsidR="00467580" w:rsidRPr="005F25AC">
        <w:rPr>
          <w:rFonts w:asciiTheme="minorHAnsi" w:eastAsiaTheme="minorHAnsi" w:hAnsiTheme="minorHAnsi" w:cstheme="minorBidi"/>
          <w:i/>
          <w:lang w:val="en-US"/>
        </w:rPr>
        <w:t>q</w:t>
      </w:r>
      <w:r w:rsidR="00467580" w:rsidRPr="005F25AC">
        <w:rPr>
          <w:rFonts w:asciiTheme="minorHAnsi" w:eastAsiaTheme="minorHAnsi" w:hAnsiTheme="minorHAnsi" w:cstheme="minorBidi"/>
          <w:i/>
          <w:vertAlign w:val="subscript"/>
          <w:lang w:val="en-US"/>
        </w:rPr>
        <w:t>ij</w:t>
      </w:r>
      <w:proofErr w:type="spellEnd"/>
      <w:r w:rsidR="00467580" w:rsidRPr="00B21A62">
        <w:rPr>
          <w:rFonts w:asciiTheme="minorHAnsi" w:eastAsiaTheme="minorHAnsi" w:hAnsiTheme="minorHAnsi" w:cstheme="minorBidi"/>
          <w:lang w:val="en-US"/>
        </w:rPr>
        <w:t xml:space="preserve"> value corresponds to </w:t>
      </w:r>
      <w:r w:rsidR="00B21A62" w:rsidRPr="00B21A62">
        <w:rPr>
          <w:rFonts w:asciiTheme="minorHAnsi" w:eastAsiaTheme="minorHAnsi" w:hAnsiTheme="minorHAnsi" w:cstheme="minorBidi"/>
          <w:lang w:val="en-US"/>
        </w:rPr>
        <w:t xml:space="preserve">the quantity of products that have to be moved from a supplier </w:t>
      </w:r>
      <w:proofErr w:type="spellStart"/>
      <w:r w:rsidR="00B21A62" w:rsidRPr="005F25AC">
        <w:rPr>
          <w:rFonts w:asciiTheme="minorHAnsi" w:eastAsiaTheme="minorHAnsi" w:hAnsiTheme="minorHAnsi" w:cstheme="minorBidi"/>
          <w:i/>
          <w:lang w:val="en-US"/>
        </w:rPr>
        <w:t>i</w:t>
      </w:r>
      <w:proofErr w:type="spellEnd"/>
      <w:r w:rsidR="00B21A62" w:rsidRPr="005F25AC">
        <w:rPr>
          <w:rFonts w:asciiTheme="minorHAnsi" w:eastAsiaTheme="minorHAnsi" w:hAnsiTheme="minorHAnsi" w:cstheme="minorBidi"/>
          <w:i/>
          <w:lang w:val="en-US"/>
        </w:rPr>
        <w:t xml:space="preserve"> </w:t>
      </w:r>
      <w:r w:rsidR="00B21A62" w:rsidRPr="005F25AC">
        <w:rPr>
          <w:rFonts w:ascii="Cambria Math" w:eastAsiaTheme="minorHAnsi" w:hAnsi="Cambria Math" w:cs="Cambria Math"/>
          <w:i/>
          <w:lang w:val="en-US"/>
        </w:rPr>
        <w:t>∈</w:t>
      </w:r>
      <w:r w:rsidR="00B21A62" w:rsidRPr="005F25AC">
        <w:rPr>
          <w:rFonts w:asciiTheme="minorHAnsi" w:eastAsiaTheme="minorHAnsi" w:hAnsiTheme="minorHAnsi" w:cstheme="minorBidi"/>
          <w:i/>
          <w:lang w:val="en-US"/>
        </w:rPr>
        <w:t xml:space="preserve"> P’</w:t>
      </w:r>
      <w:r w:rsidR="00B21A62" w:rsidRPr="00B21A62">
        <w:rPr>
          <w:rFonts w:asciiTheme="minorHAnsi" w:eastAsiaTheme="minorHAnsi" w:hAnsiTheme="minorHAnsi" w:cstheme="minorBidi"/>
          <w:lang w:val="en-US"/>
        </w:rPr>
        <w:t xml:space="preserve"> to a customer </w:t>
      </w:r>
      <w:r w:rsidR="00B21A62" w:rsidRPr="005F25AC">
        <w:rPr>
          <w:rFonts w:asciiTheme="minorHAnsi" w:eastAsiaTheme="minorHAnsi" w:hAnsiTheme="minorHAnsi" w:cstheme="minorBidi"/>
          <w:i/>
          <w:lang w:val="en-US"/>
        </w:rPr>
        <w:t xml:space="preserve">j </w:t>
      </w:r>
      <w:r w:rsidR="00B21A62" w:rsidRPr="005F25AC">
        <w:rPr>
          <w:rFonts w:ascii="Cambria Math" w:eastAsiaTheme="minorHAnsi" w:hAnsi="Cambria Math" w:cs="Cambria Math"/>
          <w:i/>
          <w:lang w:val="en-US"/>
        </w:rPr>
        <w:t>∈</w:t>
      </w:r>
      <w:r w:rsidR="00B21A62" w:rsidRPr="005F25AC">
        <w:rPr>
          <w:rFonts w:asciiTheme="minorHAnsi" w:eastAsiaTheme="minorHAnsi" w:hAnsiTheme="minorHAnsi" w:cstheme="minorBidi"/>
          <w:i/>
          <w:lang w:val="en-US"/>
        </w:rPr>
        <w:t xml:space="preserve"> D’</w:t>
      </w:r>
      <w:r w:rsidR="00B21A62">
        <w:rPr>
          <w:rFonts w:asciiTheme="minorHAnsi" w:eastAsiaTheme="minorHAnsi" w:hAnsiTheme="minorHAnsi" w:cstheme="minorBidi"/>
          <w:lang w:val="en-US"/>
        </w:rPr>
        <w:t xml:space="preserve">. Obviously, if all </w:t>
      </w:r>
      <w:proofErr w:type="spellStart"/>
      <w:r w:rsidR="005F25AC" w:rsidRPr="005F25AC">
        <w:rPr>
          <w:rFonts w:asciiTheme="minorHAnsi" w:eastAsiaTheme="minorHAnsi" w:hAnsiTheme="minorHAnsi" w:cstheme="minorBidi"/>
          <w:i/>
          <w:lang w:val="en-US"/>
        </w:rPr>
        <w:t>q</w:t>
      </w:r>
      <w:r w:rsidR="005F25AC" w:rsidRPr="005F25AC">
        <w:rPr>
          <w:rFonts w:asciiTheme="minorHAnsi" w:eastAsiaTheme="minorHAnsi" w:hAnsiTheme="minorHAnsi" w:cstheme="minorBidi"/>
          <w:i/>
          <w:vertAlign w:val="subscript"/>
          <w:lang w:val="en-US"/>
        </w:rPr>
        <w:t>ij</w:t>
      </w:r>
      <w:proofErr w:type="spellEnd"/>
      <w:r w:rsidR="005F25AC">
        <w:rPr>
          <w:rFonts w:asciiTheme="minorHAnsi" w:eastAsiaTheme="minorHAnsi" w:hAnsiTheme="minorHAnsi" w:cstheme="minorBidi"/>
          <w:lang w:val="en-US"/>
        </w:rPr>
        <w:t xml:space="preserve"> </w:t>
      </w:r>
      <w:r w:rsidR="00B21A62">
        <w:rPr>
          <w:rFonts w:asciiTheme="minorHAnsi" w:eastAsiaTheme="minorHAnsi" w:hAnsiTheme="minorHAnsi" w:cstheme="minorBidi"/>
          <w:lang w:val="en-US"/>
        </w:rPr>
        <w:t>&gt; 0 (</w:t>
      </w:r>
      <w:proofErr w:type="spellStart"/>
      <w:r w:rsidR="00B21A62" w:rsidRPr="005F25AC">
        <w:rPr>
          <w:rFonts w:asciiTheme="minorHAnsi" w:eastAsiaTheme="minorHAnsi" w:hAnsiTheme="minorHAnsi" w:cstheme="minorBidi"/>
          <w:i/>
          <w:lang w:val="en-US"/>
        </w:rPr>
        <w:t>i</w:t>
      </w:r>
      <w:proofErr w:type="spellEnd"/>
      <w:r w:rsidR="00B21A62" w:rsidRPr="005F25AC">
        <w:rPr>
          <w:rFonts w:asciiTheme="minorHAnsi" w:eastAsiaTheme="minorHAnsi" w:hAnsiTheme="minorHAnsi" w:cstheme="minorBidi"/>
          <w:i/>
          <w:lang w:val="en-US"/>
        </w:rPr>
        <w:t xml:space="preserve"> </w:t>
      </w:r>
      <w:r w:rsidR="00B21A62" w:rsidRPr="005F25AC">
        <w:rPr>
          <w:rFonts w:ascii="Cambria Math" w:eastAsiaTheme="minorHAnsi" w:hAnsi="Cambria Math" w:cs="Cambria Math"/>
          <w:i/>
          <w:lang w:val="en-US"/>
        </w:rPr>
        <w:t>∈</w:t>
      </w:r>
      <w:r w:rsidR="00B21A62" w:rsidRPr="005F25AC">
        <w:rPr>
          <w:rFonts w:asciiTheme="minorHAnsi" w:eastAsiaTheme="minorHAnsi" w:hAnsiTheme="minorHAnsi" w:cstheme="minorBidi"/>
          <w:i/>
          <w:lang w:val="en-US"/>
        </w:rPr>
        <w:t xml:space="preserve"> P’</w:t>
      </w:r>
      <w:r w:rsidR="00B21A62">
        <w:rPr>
          <w:rFonts w:asciiTheme="minorHAnsi" w:eastAsiaTheme="minorHAnsi" w:hAnsiTheme="minorHAnsi" w:cstheme="minorBidi"/>
          <w:lang w:val="en-US"/>
        </w:rPr>
        <w:t xml:space="preserve">, </w:t>
      </w:r>
      <w:r w:rsidR="00B21A62" w:rsidRPr="005F25AC">
        <w:rPr>
          <w:rFonts w:asciiTheme="minorHAnsi" w:eastAsiaTheme="minorHAnsi" w:hAnsiTheme="minorHAnsi" w:cstheme="minorBidi"/>
          <w:i/>
          <w:lang w:val="en-US"/>
        </w:rPr>
        <w:t xml:space="preserve">j </w:t>
      </w:r>
      <w:r w:rsidR="00B21A62" w:rsidRPr="005F25AC">
        <w:rPr>
          <w:rFonts w:ascii="Cambria Math" w:eastAsiaTheme="minorHAnsi" w:hAnsi="Cambria Math" w:cs="Cambria Math"/>
          <w:i/>
          <w:lang w:val="en-US"/>
        </w:rPr>
        <w:t>∈</w:t>
      </w:r>
      <w:r w:rsidR="00B94EFE">
        <w:rPr>
          <w:rFonts w:asciiTheme="minorHAnsi" w:eastAsiaTheme="minorHAnsi" w:hAnsiTheme="minorHAnsi" w:cstheme="minorBidi"/>
          <w:i/>
          <w:lang w:val="en-US"/>
        </w:rPr>
        <w:t xml:space="preserve"> </w:t>
      </w:r>
      <w:r w:rsidR="00B21A62" w:rsidRPr="005F25AC">
        <w:rPr>
          <w:rFonts w:asciiTheme="minorHAnsi" w:eastAsiaTheme="minorHAnsi" w:hAnsiTheme="minorHAnsi" w:cstheme="minorBidi"/>
          <w:i/>
          <w:lang w:val="en-US"/>
        </w:rPr>
        <w:t>D’</w:t>
      </w:r>
      <w:r w:rsidR="00B21A62">
        <w:rPr>
          <w:rFonts w:asciiTheme="minorHAnsi" w:eastAsiaTheme="minorHAnsi" w:hAnsiTheme="minorHAnsi" w:cstheme="minorBidi"/>
          <w:lang w:val="en-US"/>
        </w:rPr>
        <w:t>), the cardinality of the transportation request set is |</w:t>
      </w:r>
      <w:r w:rsidR="00B21A62" w:rsidRPr="005F25AC">
        <w:rPr>
          <w:rFonts w:asciiTheme="minorHAnsi" w:eastAsiaTheme="minorHAnsi" w:hAnsiTheme="minorHAnsi" w:cstheme="minorBidi"/>
          <w:i/>
          <w:lang w:val="en-US"/>
        </w:rPr>
        <w:t>R</w:t>
      </w:r>
      <w:r w:rsidR="00B21A62">
        <w:rPr>
          <w:rFonts w:asciiTheme="minorHAnsi" w:eastAsiaTheme="minorHAnsi" w:hAnsiTheme="minorHAnsi" w:cstheme="minorBidi"/>
          <w:lang w:val="en-US"/>
        </w:rPr>
        <w:t xml:space="preserve">| = </w:t>
      </w:r>
      <w:r w:rsidR="00B21A62" w:rsidRPr="00B21A62">
        <w:rPr>
          <w:rFonts w:asciiTheme="minorHAnsi" w:eastAsiaTheme="minorHAnsi" w:hAnsiTheme="minorHAnsi" w:cstheme="minorBidi"/>
          <w:lang w:val="en-US"/>
        </w:rPr>
        <w:t>|</w:t>
      </w:r>
      <w:r w:rsidR="00B21A62" w:rsidRPr="005F25AC">
        <w:rPr>
          <w:rFonts w:asciiTheme="minorHAnsi" w:eastAsiaTheme="minorHAnsi" w:hAnsiTheme="minorHAnsi" w:cstheme="minorBidi"/>
          <w:i/>
          <w:lang w:val="en-US"/>
        </w:rPr>
        <w:t>P</w:t>
      </w:r>
      <w:r w:rsidR="005F635A">
        <w:rPr>
          <w:rFonts w:asciiTheme="minorHAnsi" w:eastAsiaTheme="minorHAnsi" w:hAnsiTheme="minorHAnsi" w:cstheme="minorBidi"/>
          <w:lang w:val="en-US"/>
        </w:rPr>
        <w:t>’|</w:t>
      </w:r>
      <w:r w:rsidR="00B21A62" w:rsidRPr="00B21A62">
        <w:rPr>
          <w:rFonts w:asciiTheme="minorHAnsi" w:eastAsia="Arial Unicode MS" w:hAnsiTheme="minorHAnsi" w:cs="Arial Unicode MS"/>
          <w:lang w:val="en-US"/>
        </w:rPr>
        <w:t>·</w:t>
      </w:r>
      <w:r w:rsidR="00B21A62" w:rsidRPr="00B21A62">
        <w:rPr>
          <w:rFonts w:asciiTheme="minorHAnsi" w:eastAsiaTheme="minorHAnsi" w:hAnsiTheme="minorHAnsi" w:cstheme="minorBidi"/>
          <w:lang w:val="en-US"/>
        </w:rPr>
        <w:t>|</w:t>
      </w:r>
      <w:r w:rsidR="00B21A62" w:rsidRPr="005F25AC">
        <w:rPr>
          <w:rFonts w:asciiTheme="minorHAnsi" w:eastAsiaTheme="minorHAnsi" w:hAnsiTheme="minorHAnsi" w:cstheme="minorBidi"/>
          <w:i/>
          <w:lang w:val="en-US"/>
        </w:rPr>
        <w:t>D</w:t>
      </w:r>
      <w:r w:rsidR="00B21A62" w:rsidRPr="00B21A62">
        <w:rPr>
          <w:rFonts w:asciiTheme="minorHAnsi" w:eastAsiaTheme="minorHAnsi" w:hAnsiTheme="minorHAnsi" w:cstheme="minorBidi"/>
          <w:lang w:val="en-US"/>
        </w:rPr>
        <w:t>’|</w:t>
      </w:r>
      <w:r w:rsidR="00B21A62">
        <w:rPr>
          <w:rFonts w:asciiTheme="minorHAnsi" w:eastAsiaTheme="minorHAnsi" w:hAnsiTheme="minorHAnsi" w:cstheme="minorBidi"/>
          <w:lang w:val="en-US"/>
        </w:rPr>
        <w:t xml:space="preserve">. </w:t>
      </w:r>
      <w:r w:rsidR="007B7DC5">
        <w:rPr>
          <w:rFonts w:asciiTheme="minorHAnsi" w:eastAsiaTheme="minorHAnsi" w:hAnsiTheme="minorHAnsi" w:cstheme="minorBidi"/>
          <w:lang w:val="en-US"/>
        </w:rPr>
        <w:t xml:space="preserve">This means that every non-zero entry of the </w:t>
      </w:r>
      <w:r w:rsidR="007C75A5">
        <w:rPr>
          <w:rFonts w:asciiTheme="minorHAnsi" w:eastAsiaTheme="minorHAnsi" w:hAnsiTheme="minorHAnsi" w:cstheme="minorBidi"/>
          <w:lang w:val="en-US"/>
        </w:rPr>
        <w:t>demand</w:t>
      </w:r>
      <w:r w:rsidR="007B7DC5">
        <w:rPr>
          <w:rFonts w:asciiTheme="minorHAnsi" w:eastAsiaTheme="minorHAnsi" w:hAnsiTheme="minorHAnsi" w:cstheme="minorBidi"/>
          <w:lang w:val="en-US"/>
        </w:rPr>
        <w:t xml:space="preserve"> matrix corr</w:t>
      </w:r>
      <w:r w:rsidR="007C75A5">
        <w:rPr>
          <w:rFonts w:asciiTheme="minorHAnsi" w:eastAsiaTheme="minorHAnsi" w:hAnsiTheme="minorHAnsi" w:cstheme="minorBidi"/>
          <w:lang w:val="en-US"/>
        </w:rPr>
        <w:t>e</w:t>
      </w:r>
      <w:r w:rsidR="007B7DC5">
        <w:rPr>
          <w:rFonts w:asciiTheme="minorHAnsi" w:eastAsiaTheme="minorHAnsi" w:hAnsiTheme="minorHAnsi" w:cstheme="minorBidi"/>
          <w:lang w:val="en-US"/>
        </w:rPr>
        <w:t xml:space="preserve">sponds to a flow of products between a supplier and a customer. </w:t>
      </w:r>
      <w:r w:rsidR="0012672E">
        <w:rPr>
          <w:rFonts w:asciiTheme="minorHAnsi" w:eastAsiaTheme="minorHAnsi" w:hAnsiTheme="minorHAnsi" w:cstheme="minorBidi"/>
          <w:lang w:val="en-US"/>
        </w:rPr>
        <w:t>Therefore, t</w:t>
      </w:r>
      <w:r w:rsidR="0012672E">
        <w:rPr>
          <w:rFonts w:asciiTheme="minorHAnsi" w:hAnsiTheme="minorHAnsi"/>
          <w:lang w:val="en-US"/>
        </w:rPr>
        <w:t xml:space="preserve">he set of transportation requests </w:t>
      </w:r>
      <w:r w:rsidR="0012672E" w:rsidRPr="00275ADB">
        <w:rPr>
          <w:rFonts w:asciiTheme="minorHAnsi" w:hAnsiTheme="minorHAnsi"/>
          <w:i/>
          <w:lang w:val="en-US"/>
        </w:rPr>
        <w:t xml:space="preserve">R </w:t>
      </w:r>
      <w:r w:rsidR="0012672E">
        <w:rPr>
          <w:rFonts w:asciiTheme="minorHAnsi" w:hAnsiTheme="minorHAnsi"/>
          <w:lang w:val="en-US"/>
        </w:rPr>
        <w:t xml:space="preserve">are determined as follows: for every non-zero </w:t>
      </w:r>
      <w:proofErr w:type="spellStart"/>
      <w:r w:rsidR="0012672E" w:rsidRPr="005F25AC">
        <w:rPr>
          <w:rFonts w:asciiTheme="minorHAnsi" w:eastAsiaTheme="minorHAnsi" w:hAnsiTheme="minorHAnsi" w:cstheme="minorBidi"/>
          <w:i/>
          <w:lang w:val="en-US"/>
        </w:rPr>
        <w:t>q</w:t>
      </w:r>
      <w:r w:rsidR="0012672E" w:rsidRPr="005F25AC">
        <w:rPr>
          <w:rFonts w:asciiTheme="minorHAnsi" w:eastAsiaTheme="minorHAnsi" w:hAnsiTheme="minorHAnsi" w:cstheme="minorBidi"/>
          <w:i/>
          <w:vertAlign w:val="subscript"/>
          <w:lang w:val="en-US"/>
        </w:rPr>
        <w:t>ij</w:t>
      </w:r>
      <w:proofErr w:type="spellEnd"/>
      <w:r w:rsidR="0012672E" w:rsidRPr="00B21A62">
        <w:rPr>
          <w:rFonts w:asciiTheme="minorHAnsi" w:eastAsiaTheme="minorHAnsi" w:hAnsiTheme="minorHAnsi" w:cstheme="minorBidi"/>
          <w:lang w:val="en-US"/>
        </w:rPr>
        <w:t xml:space="preserve"> </w:t>
      </w:r>
      <w:r w:rsidR="0012672E">
        <w:rPr>
          <w:rFonts w:asciiTheme="minorHAnsi" w:hAnsiTheme="minorHAnsi"/>
          <w:lang w:val="en-US"/>
        </w:rPr>
        <w:t xml:space="preserve">entry of the demand matrix a request </w:t>
      </w:r>
      <w:r w:rsidR="0012672E" w:rsidRPr="00275ADB">
        <w:rPr>
          <w:rFonts w:asciiTheme="minorHAnsi" w:hAnsiTheme="minorHAnsi"/>
          <w:i/>
          <w:lang w:val="en-US"/>
        </w:rPr>
        <w:t>r</w:t>
      </w:r>
      <w:r w:rsidR="0012672E">
        <w:rPr>
          <w:rFonts w:asciiTheme="minorHAnsi" w:hAnsiTheme="minorHAnsi"/>
          <w:lang w:val="en-US"/>
        </w:rPr>
        <w:t xml:space="preserve"> is generated. </w:t>
      </w:r>
    </w:p>
    <w:p w:rsidR="00F00EA5" w:rsidRDefault="00F00EA5" w:rsidP="00F00EA5">
      <w:pPr>
        <w:pStyle w:val="RoadefTexte"/>
        <w:tabs>
          <w:tab w:val="left" w:pos="720"/>
        </w:tabs>
        <w:spacing w:after="0" w:line="276" w:lineRule="auto"/>
        <w:ind w:firstLine="0"/>
        <w:rPr>
          <w:rFonts w:asciiTheme="minorHAnsi" w:hAnsiTheme="minorHAnsi"/>
          <w:lang w:val="en-US"/>
        </w:rPr>
      </w:pPr>
      <w:r>
        <w:rPr>
          <w:rFonts w:asciiTheme="minorHAnsi" w:eastAsiaTheme="minorHAnsi" w:hAnsiTheme="minorHAnsi" w:cstheme="minorBidi"/>
          <w:lang w:val="en-US"/>
        </w:rPr>
        <w:tab/>
      </w:r>
      <w:r w:rsidR="007B7DC5">
        <w:rPr>
          <w:rFonts w:asciiTheme="minorHAnsi" w:eastAsiaTheme="minorHAnsi" w:hAnsiTheme="minorHAnsi" w:cstheme="minorBidi"/>
          <w:lang w:val="en-US"/>
        </w:rPr>
        <w:t xml:space="preserve">For the Data Set II </w:t>
      </w:r>
      <w:r w:rsidR="005F635A">
        <w:rPr>
          <w:rFonts w:asciiTheme="minorHAnsi" w:eastAsiaTheme="minorHAnsi" w:hAnsiTheme="minorHAnsi" w:cstheme="minorBidi"/>
          <w:lang w:val="en-US"/>
        </w:rPr>
        <w:t xml:space="preserve">problem </w:t>
      </w:r>
      <w:r w:rsidR="007B7DC5">
        <w:rPr>
          <w:rFonts w:asciiTheme="minorHAnsi" w:eastAsiaTheme="minorHAnsi" w:hAnsiTheme="minorHAnsi" w:cstheme="minorBidi"/>
          <w:lang w:val="en-US"/>
        </w:rPr>
        <w:t xml:space="preserve">instances, </w:t>
      </w:r>
      <w:bookmarkStart w:id="529" w:name="OLE_LINK710"/>
      <w:bookmarkStart w:id="530" w:name="OLE_LINK711"/>
      <w:bookmarkStart w:id="531" w:name="OLE_LINK714"/>
      <w:r w:rsidR="007B7DC5">
        <w:rPr>
          <w:rFonts w:asciiTheme="minorHAnsi" w:eastAsiaTheme="minorHAnsi" w:hAnsiTheme="minorHAnsi" w:cstheme="minorBidi"/>
          <w:lang w:val="en-US"/>
        </w:rPr>
        <w:t xml:space="preserve">we have </w:t>
      </w:r>
      <w:r w:rsidR="0012672E">
        <w:rPr>
          <w:rFonts w:asciiTheme="minorHAnsi" w:eastAsiaTheme="minorHAnsi" w:hAnsiTheme="minorHAnsi" w:cstheme="minorBidi"/>
          <w:lang w:val="en-US"/>
        </w:rPr>
        <w:t xml:space="preserve">also </w:t>
      </w:r>
      <w:r w:rsidR="007B7DC5">
        <w:rPr>
          <w:rFonts w:asciiTheme="minorHAnsi" w:eastAsiaTheme="minorHAnsi" w:hAnsiTheme="minorHAnsi" w:cstheme="minorBidi"/>
          <w:lang w:val="en-US"/>
        </w:rPr>
        <w:t xml:space="preserve">considered three density classes </w:t>
      </w:r>
      <w:bookmarkEnd w:id="529"/>
      <w:bookmarkEnd w:id="530"/>
      <w:bookmarkEnd w:id="531"/>
      <w:r w:rsidR="005F25AC" w:rsidRPr="00275ADB">
        <w:rPr>
          <w:rFonts w:asciiTheme="minorHAnsi" w:eastAsiaTheme="minorHAnsi" w:hAnsiTheme="minorHAnsi" w:cstheme="minorBidi"/>
          <w:i/>
          <w:lang w:val="en-US"/>
        </w:rPr>
        <w:t>DM</w:t>
      </w:r>
      <w:r w:rsidR="007B7DC5" w:rsidRPr="00275ADB">
        <w:rPr>
          <w:rFonts w:asciiTheme="minorHAnsi" w:eastAsiaTheme="minorHAnsi" w:hAnsiTheme="minorHAnsi" w:cstheme="minorBidi"/>
          <w:i/>
          <w:lang w:val="en-US"/>
        </w:rPr>
        <w:t xml:space="preserve">1, </w:t>
      </w:r>
      <w:r w:rsidR="005F25AC" w:rsidRPr="00275ADB">
        <w:rPr>
          <w:rFonts w:asciiTheme="minorHAnsi" w:eastAsiaTheme="minorHAnsi" w:hAnsiTheme="minorHAnsi" w:cstheme="minorBidi"/>
          <w:i/>
          <w:lang w:val="en-US"/>
        </w:rPr>
        <w:t>DM</w:t>
      </w:r>
      <w:r w:rsidR="007B7DC5" w:rsidRPr="00275ADB">
        <w:rPr>
          <w:rFonts w:asciiTheme="minorHAnsi" w:eastAsiaTheme="minorHAnsi" w:hAnsiTheme="minorHAnsi" w:cstheme="minorBidi"/>
          <w:i/>
          <w:lang w:val="en-US"/>
        </w:rPr>
        <w:t xml:space="preserve">2, </w:t>
      </w:r>
      <w:r w:rsidR="00413D9D" w:rsidRPr="00413D9D">
        <w:rPr>
          <w:rFonts w:asciiTheme="minorHAnsi" w:eastAsiaTheme="minorHAnsi" w:hAnsiTheme="minorHAnsi" w:cstheme="minorBidi"/>
          <w:lang w:val="en-US"/>
        </w:rPr>
        <w:t xml:space="preserve">and </w:t>
      </w:r>
      <w:r w:rsidR="005F25AC" w:rsidRPr="00275ADB">
        <w:rPr>
          <w:rFonts w:asciiTheme="minorHAnsi" w:eastAsiaTheme="minorHAnsi" w:hAnsiTheme="minorHAnsi" w:cstheme="minorBidi"/>
          <w:i/>
          <w:lang w:val="en-US"/>
        </w:rPr>
        <w:t>DM</w:t>
      </w:r>
      <w:r w:rsidR="007B7DC5" w:rsidRPr="00275ADB">
        <w:rPr>
          <w:rFonts w:asciiTheme="minorHAnsi" w:eastAsiaTheme="minorHAnsi" w:hAnsiTheme="minorHAnsi" w:cstheme="minorBidi"/>
          <w:i/>
          <w:lang w:val="en-US"/>
        </w:rPr>
        <w:t xml:space="preserve">3 </w:t>
      </w:r>
      <w:r w:rsidR="007B7DC5">
        <w:rPr>
          <w:rFonts w:asciiTheme="minorHAnsi" w:eastAsiaTheme="minorHAnsi" w:hAnsiTheme="minorHAnsi" w:cstheme="minorBidi"/>
          <w:lang w:val="en-US"/>
        </w:rPr>
        <w:t xml:space="preserve">for the </w:t>
      </w:r>
      <w:r w:rsidR="00413D9D">
        <w:rPr>
          <w:rFonts w:asciiTheme="minorHAnsi" w:eastAsiaTheme="minorHAnsi" w:hAnsiTheme="minorHAnsi" w:cstheme="minorBidi"/>
          <w:lang w:val="en-US"/>
        </w:rPr>
        <w:t>demand</w:t>
      </w:r>
      <w:r w:rsidR="005F635A">
        <w:rPr>
          <w:rFonts w:asciiTheme="minorHAnsi" w:eastAsiaTheme="minorHAnsi" w:hAnsiTheme="minorHAnsi" w:cstheme="minorBidi"/>
          <w:lang w:val="en-US"/>
        </w:rPr>
        <w:t xml:space="preserve"> matrix.</w:t>
      </w:r>
      <w:r w:rsidR="007B7DC5">
        <w:rPr>
          <w:rFonts w:asciiTheme="minorHAnsi" w:eastAsiaTheme="minorHAnsi" w:hAnsiTheme="minorHAnsi" w:cstheme="minorBidi"/>
          <w:lang w:val="en-US"/>
        </w:rPr>
        <w:t xml:space="preserve"> </w:t>
      </w:r>
      <w:r w:rsidR="005F635A">
        <w:rPr>
          <w:rFonts w:asciiTheme="minorHAnsi" w:eastAsiaTheme="minorHAnsi" w:hAnsiTheme="minorHAnsi" w:cstheme="minorBidi"/>
          <w:lang w:val="en-US"/>
        </w:rPr>
        <w:t>Specifically</w:t>
      </w:r>
      <w:r w:rsidR="00353705">
        <w:rPr>
          <w:rFonts w:asciiTheme="minorHAnsi" w:eastAsiaTheme="minorHAnsi" w:hAnsiTheme="minorHAnsi" w:cstheme="minorBidi"/>
          <w:lang w:val="en-US"/>
        </w:rPr>
        <w:t>,</w:t>
      </w:r>
      <w:r w:rsidR="007B7DC5">
        <w:rPr>
          <w:rFonts w:asciiTheme="minorHAnsi" w:eastAsiaTheme="minorHAnsi" w:hAnsiTheme="minorHAnsi" w:cstheme="minorBidi"/>
          <w:lang w:val="en-US"/>
        </w:rPr>
        <w:t xml:space="preserve"> each </w:t>
      </w:r>
      <w:proofErr w:type="spellStart"/>
      <w:r w:rsidR="00275ADB" w:rsidRPr="005F25AC">
        <w:rPr>
          <w:rFonts w:asciiTheme="minorHAnsi" w:eastAsiaTheme="minorHAnsi" w:hAnsiTheme="minorHAnsi" w:cstheme="minorBidi"/>
          <w:i/>
          <w:lang w:val="en-US"/>
        </w:rPr>
        <w:t>q</w:t>
      </w:r>
      <w:r w:rsidR="00275ADB" w:rsidRPr="005F25AC">
        <w:rPr>
          <w:rFonts w:asciiTheme="minorHAnsi" w:eastAsiaTheme="minorHAnsi" w:hAnsiTheme="minorHAnsi" w:cstheme="minorBidi"/>
          <w:i/>
          <w:vertAlign w:val="subscript"/>
          <w:lang w:val="en-US"/>
        </w:rPr>
        <w:t>ij</w:t>
      </w:r>
      <w:proofErr w:type="spellEnd"/>
      <w:r w:rsidR="00275ADB" w:rsidRPr="00B21A62">
        <w:rPr>
          <w:rFonts w:asciiTheme="minorHAnsi" w:eastAsiaTheme="minorHAnsi" w:hAnsiTheme="minorHAnsi" w:cstheme="minorBidi"/>
          <w:lang w:val="en-US"/>
        </w:rPr>
        <w:t xml:space="preserve"> </w:t>
      </w:r>
      <w:r w:rsidR="007B7DC5">
        <w:rPr>
          <w:rFonts w:asciiTheme="minorHAnsi" w:eastAsiaTheme="minorHAnsi" w:hAnsiTheme="minorHAnsi" w:cstheme="minorBidi"/>
          <w:lang w:val="en-US"/>
        </w:rPr>
        <w:t xml:space="preserve">value has a probability 25%, 50%, and 100% of being non-zero, for classes </w:t>
      </w:r>
      <w:r w:rsidR="00275ADB" w:rsidRPr="00275ADB">
        <w:rPr>
          <w:rFonts w:asciiTheme="minorHAnsi" w:eastAsiaTheme="minorHAnsi" w:hAnsiTheme="minorHAnsi" w:cstheme="minorBidi"/>
          <w:i/>
          <w:lang w:val="en-US"/>
        </w:rPr>
        <w:t>DM1, DM2</w:t>
      </w:r>
      <w:r w:rsidR="00275ADB">
        <w:rPr>
          <w:rFonts w:asciiTheme="minorHAnsi" w:eastAsiaTheme="minorHAnsi" w:hAnsiTheme="minorHAnsi" w:cstheme="minorBidi"/>
          <w:lang w:val="en-US"/>
        </w:rPr>
        <w:t>,</w:t>
      </w:r>
      <w:r w:rsidR="007C75A5">
        <w:rPr>
          <w:rFonts w:asciiTheme="minorHAnsi" w:eastAsiaTheme="minorHAnsi" w:hAnsiTheme="minorHAnsi" w:cstheme="minorBidi"/>
          <w:lang w:val="en-US"/>
        </w:rPr>
        <w:t xml:space="preserve"> and </w:t>
      </w:r>
      <w:r w:rsidR="00275ADB" w:rsidRPr="00275ADB">
        <w:rPr>
          <w:rFonts w:asciiTheme="minorHAnsi" w:eastAsiaTheme="minorHAnsi" w:hAnsiTheme="minorHAnsi" w:cstheme="minorBidi"/>
          <w:i/>
          <w:lang w:val="en-US"/>
        </w:rPr>
        <w:t>DM3</w:t>
      </w:r>
      <w:r w:rsidR="005F635A">
        <w:rPr>
          <w:rFonts w:asciiTheme="minorHAnsi" w:eastAsiaTheme="minorHAnsi" w:hAnsiTheme="minorHAnsi" w:cstheme="minorBidi"/>
          <w:lang w:val="en-US"/>
        </w:rPr>
        <w:t xml:space="preserve"> respectively, where</w:t>
      </w:r>
      <w:r w:rsidR="007C75A5">
        <w:rPr>
          <w:rFonts w:asciiTheme="minorHAnsi" w:eastAsiaTheme="minorHAnsi" w:hAnsiTheme="minorHAnsi" w:cstheme="minorBidi"/>
          <w:lang w:val="en-US"/>
        </w:rPr>
        <w:t xml:space="preserve"> every non-zero entry takes a random integer value within </w:t>
      </w:r>
      <w:r w:rsidR="007C75A5">
        <w:rPr>
          <w:rFonts w:asciiTheme="minorHAnsi" w:hAnsiTheme="minorHAnsi"/>
          <w:lang w:val="en-US"/>
        </w:rPr>
        <w:t>[5, 30].</w:t>
      </w:r>
      <w:r w:rsidR="00EB3CC6">
        <w:rPr>
          <w:rFonts w:asciiTheme="minorHAnsi" w:hAnsiTheme="minorHAnsi"/>
          <w:lang w:val="en-US"/>
        </w:rPr>
        <w:t xml:space="preserve"> The density classes </w:t>
      </w:r>
      <w:r w:rsidR="005F635A">
        <w:rPr>
          <w:rFonts w:asciiTheme="minorHAnsi" w:hAnsiTheme="minorHAnsi"/>
          <w:lang w:val="en-US"/>
        </w:rPr>
        <w:t>are</w:t>
      </w:r>
      <w:r w:rsidR="00EB3CC6">
        <w:rPr>
          <w:rFonts w:asciiTheme="minorHAnsi" w:hAnsiTheme="minorHAnsi"/>
          <w:lang w:val="en-US"/>
        </w:rPr>
        <w:t xml:space="preserve"> considered </w:t>
      </w:r>
      <w:r w:rsidR="00A43091">
        <w:rPr>
          <w:rFonts w:asciiTheme="minorHAnsi" w:hAnsiTheme="minorHAnsi"/>
          <w:lang w:val="en-US"/>
        </w:rPr>
        <w:t xml:space="preserve">in order </w:t>
      </w:r>
      <w:r w:rsidR="00EB3CC6">
        <w:rPr>
          <w:rFonts w:asciiTheme="minorHAnsi" w:hAnsiTheme="minorHAnsi"/>
          <w:lang w:val="en-US"/>
        </w:rPr>
        <w:t xml:space="preserve">to assess the examined strategies </w:t>
      </w:r>
      <w:r w:rsidR="00A43091">
        <w:rPr>
          <w:rFonts w:asciiTheme="minorHAnsi" w:hAnsiTheme="minorHAnsi"/>
          <w:lang w:val="en-US"/>
        </w:rPr>
        <w:t>under scenarios</w:t>
      </w:r>
      <w:r w:rsidR="00EB3CC6">
        <w:rPr>
          <w:rFonts w:asciiTheme="minorHAnsi" w:hAnsiTheme="minorHAnsi"/>
          <w:lang w:val="en-US"/>
        </w:rPr>
        <w:t xml:space="preserve"> that involve supplier nodes (</w:t>
      </w:r>
      <w:r w:rsidR="005F635A">
        <w:rPr>
          <w:rFonts w:asciiTheme="minorHAnsi" w:hAnsiTheme="minorHAnsi"/>
          <w:lang w:val="en-US"/>
        </w:rPr>
        <w:t xml:space="preserve">e.g. </w:t>
      </w:r>
      <w:r w:rsidR="00EB3CC6">
        <w:rPr>
          <w:rFonts w:asciiTheme="minorHAnsi" w:hAnsiTheme="minorHAnsi"/>
          <w:lang w:val="en-US"/>
        </w:rPr>
        <w:t>production plants, warehouses, etc.) serving multiple customers (</w:t>
      </w:r>
      <w:r w:rsidR="005F635A">
        <w:rPr>
          <w:rFonts w:asciiTheme="minorHAnsi" w:hAnsiTheme="minorHAnsi"/>
          <w:lang w:val="en-US"/>
        </w:rPr>
        <w:t xml:space="preserve">e.g. </w:t>
      </w:r>
      <w:r w:rsidR="00EB3CC6">
        <w:rPr>
          <w:rFonts w:asciiTheme="minorHAnsi" w:hAnsiTheme="minorHAnsi"/>
          <w:lang w:val="en-US"/>
        </w:rPr>
        <w:t>retailers) and are frequently met in practice.</w:t>
      </w:r>
      <w:r w:rsidR="00353705">
        <w:rPr>
          <w:rFonts w:asciiTheme="minorHAnsi" w:hAnsiTheme="minorHAnsi"/>
          <w:lang w:val="en-US"/>
        </w:rPr>
        <w:t xml:space="preserve"> The pickup node for this request</w:t>
      </w:r>
      <w:r w:rsidR="00005F94">
        <w:rPr>
          <w:rFonts w:asciiTheme="minorHAnsi" w:hAnsiTheme="minorHAnsi"/>
          <w:lang w:val="en-US"/>
        </w:rPr>
        <w:t xml:space="preserve"> is </w:t>
      </w:r>
    </w:p>
    <w:p w:rsidR="00F00EA5" w:rsidRDefault="00005F94" w:rsidP="00F00EA5">
      <w:pPr>
        <w:pStyle w:val="RoadefTexte"/>
        <w:tabs>
          <w:tab w:val="left" w:pos="720"/>
        </w:tabs>
        <w:spacing w:after="0" w:line="276" w:lineRule="auto"/>
        <w:ind w:firstLine="0"/>
        <w:rPr>
          <w:rFonts w:asciiTheme="minorHAnsi" w:hAnsiTheme="minorHAnsi"/>
          <w:lang w:val="en-US"/>
        </w:rPr>
      </w:pPr>
      <w:r>
        <w:rPr>
          <w:rFonts w:asciiTheme="minorHAnsi" w:hAnsiTheme="minorHAnsi"/>
          <w:lang w:val="en-US"/>
        </w:rPr>
        <w:t xml:space="preserve">a copy of the original pickup </w:t>
      </w:r>
      <w:r w:rsidR="00353705">
        <w:rPr>
          <w:rFonts w:asciiTheme="minorHAnsi" w:hAnsiTheme="minorHAnsi"/>
          <w:lang w:val="en-US"/>
        </w:rPr>
        <w:t xml:space="preserve">node </w:t>
      </w:r>
      <w:proofErr w:type="spellStart"/>
      <w:r w:rsidR="00353705" w:rsidRPr="00275ADB">
        <w:rPr>
          <w:rFonts w:asciiTheme="minorHAnsi" w:hAnsiTheme="minorHAnsi"/>
          <w:i/>
          <w:lang w:val="en-US"/>
        </w:rPr>
        <w:t>i</w:t>
      </w:r>
      <w:proofErr w:type="spellEnd"/>
      <w:r w:rsidR="00353705">
        <w:rPr>
          <w:rFonts w:asciiTheme="minorHAnsi" w:hAnsiTheme="minorHAnsi"/>
          <w:lang w:val="en-US"/>
        </w:rPr>
        <w:t xml:space="preserve"> </w:t>
      </w:r>
      <w:r w:rsidR="00413D9D" w:rsidRPr="005F25AC">
        <w:rPr>
          <w:rFonts w:ascii="Cambria Math" w:eastAsiaTheme="minorHAnsi" w:hAnsi="Cambria Math" w:cs="Cambria Math"/>
          <w:i/>
          <w:lang w:val="en-US"/>
        </w:rPr>
        <w:t>∈</w:t>
      </w:r>
      <w:r w:rsidR="00413D9D" w:rsidRPr="005F25AC">
        <w:rPr>
          <w:rFonts w:asciiTheme="minorHAnsi" w:eastAsiaTheme="minorHAnsi" w:hAnsiTheme="minorHAnsi" w:cstheme="minorBidi"/>
          <w:i/>
          <w:lang w:val="en-US"/>
        </w:rPr>
        <w:t xml:space="preserve"> </w:t>
      </w:r>
      <w:r w:rsidR="00353705" w:rsidRPr="00275ADB">
        <w:rPr>
          <w:rFonts w:asciiTheme="minorHAnsi" w:hAnsiTheme="minorHAnsi"/>
          <w:i/>
          <w:lang w:val="en-US"/>
        </w:rPr>
        <w:t>P’</w:t>
      </w:r>
      <w:r w:rsidR="00353705">
        <w:rPr>
          <w:rFonts w:asciiTheme="minorHAnsi" w:hAnsiTheme="minorHAnsi"/>
          <w:lang w:val="en-US"/>
        </w:rPr>
        <w:t xml:space="preserve">, the delivery node of </w:t>
      </w:r>
      <w:r w:rsidR="00003B73" w:rsidRPr="00275ADB">
        <w:rPr>
          <w:rFonts w:asciiTheme="minorHAnsi" w:hAnsiTheme="minorHAnsi"/>
          <w:i/>
          <w:lang w:val="en-US"/>
        </w:rPr>
        <w:t>r</w:t>
      </w:r>
      <w:r w:rsidR="00353705">
        <w:rPr>
          <w:rFonts w:asciiTheme="minorHAnsi" w:hAnsiTheme="minorHAnsi"/>
          <w:lang w:val="en-US"/>
        </w:rPr>
        <w:t xml:space="preserve"> is a copy of the pickup node</w:t>
      </w:r>
      <w:r w:rsidR="00353705" w:rsidRPr="00275ADB">
        <w:rPr>
          <w:rFonts w:asciiTheme="minorHAnsi" w:hAnsiTheme="minorHAnsi"/>
          <w:i/>
          <w:lang w:val="en-US"/>
        </w:rPr>
        <w:t xml:space="preserve"> j</w:t>
      </w:r>
      <w:r w:rsidR="00353705">
        <w:rPr>
          <w:rFonts w:asciiTheme="minorHAnsi" w:hAnsiTheme="minorHAnsi"/>
          <w:lang w:val="en-US"/>
        </w:rPr>
        <w:t xml:space="preserve"> </w:t>
      </w:r>
      <w:r w:rsidR="00413D9D" w:rsidRPr="005F25AC">
        <w:rPr>
          <w:rFonts w:ascii="Cambria Math" w:eastAsiaTheme="minorHAnsi" w:hAnsi="Cambria Math" w:cs="Cambria Math"/>
          <w:i/>
          <w:lang w:val="en-US"/>
        </w:rPr>
        <w:t>∈</w:t>
      </w:r>
      <w:r w:rsidR="00413D9D" w:rsidRPr="005F25AC">
        <w:rPr>
          <w:rFonts w:asciiTheme="minorHAnsi" w:eastAsiaTheme="minorHAnsi" w:hAnsiTheme="minorHAnsi" w:cstheme="minorBidi"/>
          <w:i/>
          <w:lang w:val="en-US"/>
        </w:rPr>
        <w:t xml:space="preserve"> </w:t>
      </w:r>
      <w:r w:rsidR="00413D9D">
        <w:rPr>
          <w:rFonts w:asciiTheme="minorHAnsi" w:hAnsiTheme="minorHAnsi"/>
          <w:i/>
          <w:lang w:val="en-US"/>
        </w:rPr>
        <w:t>D</w:t>
      </w:r>
      <w:r w:rsidR="00353705">
        <w:rPr>
          <w:rFonts w:asciiTheme="minorHAnsi" w:hAnsiTheme="minorHAnsi"/>
          <w:lang w:val="en-US"/>
        </w:rPr>
        <w:t>’</w:t>
      </w:r>
      <w:r w:rsidR="00003B73" w:rsidRPr="00003B73">
        <w:rPr>
          <w:rFonts w:asciiTheme="minorHAnsi" w:hAnsiTheme="minorHAnsi"/>
          <w:lang w:val="en-US"/>
        </w:rPr>
        <w:t xml:space="preserve">, </w:t>
      </w:r>
      <w:r w:rsidR="00003B73">
        <w:rPr>
          <w:rFonts w:asciiTheme="minorHAnsi" w:hAnsiTheme="minorHAnsi"/>
          <w:lang w:val="en-US"/>
        </w:rPr>
        <w:t xml:space="preserve">and the demand is </w:t>
      </w:r>
      <w:proofErr w:type="spellStart"/>
      <w:proofErr w:type="gramStart"/>
      <w:r w:rsidR="00003B73" w:rsidRPr="00275ADB">
        <w:rPr>
          <w:rFonts w:asciiTheme="minorHAnsi" w:hAnsiTheme="minorHAnsi"/>
          <w:i/>
          <w:lang w:val="en-US"/>
        </w:rPr>
        <w:t>q</w:t>
      </w:r>
      <w:r w:rsidR="00003B73" w:rsidRPr="00275ADB">
        <w:rPr>
          <w:rFonts w:asciiTheme="minorHAnsi" w:hAnsiTheme="minorHAnsi"/>
          <w:i/>
          <w:vertAlign w:val="subscript"/>
          <w:lang w:val="en-US"/>
        </w:rPr>
        <w:t>r</w:t>
      </w:r>
      <w:proofErr w:type="spellEnd"/>
      <w:proofErr w:type="gramEnd"/>
      <w:r w:rsidR="00003B73">
        <w:rPr>
          <w:rFonts w:asciiTheme="minorHAnsi" w:hAnsiTheme="minorHAnsi"/>
          <w:lang w:val="en-US"/>
        </w:rPr>
        <w:t xml:space="preserve"> = </w:t>
      </w:r>
      <w:proofErr w:type="spellStart"/>
      <w:r w:rsidR="00275ADB" w:rsidRPr="005F25AC">
        <w:rPr>
          <w:rFonts w:asciiTheme="minorHAnsi" w:eastAsiaTheme="minorHAnsi" w:hAnsiTheme="minorHAnsi" w:cstheme="minorBidi"/>
          <w:i/>
          <w:lang w:val="en-US"/>
        </w:rPr>
        <w:t>q</w:t>
      </w:r>
      <w:r w:rsidR="00275ADB" w:rsidRPr="005F25AC">
        <w:rPr>
          <w:rFonts w:asciiTheme="minorHAnsi" w:eastAsiaTheme="minorHAnsi" w:hAnsiTheme="minorHAnsi" w:cstheme="minorBidi"/>
          <w:i/>
          <w:vertAlign w:val="subscript"/>
          <w:lang w:val="en-US"/>
        </w:rPr>
        <w:t>ij</w:t>
      </w:r>
      <w:proofErr w:type="spellEnd"/>
      <w:r w:rsidR="00003B73">
        <w:rPr>
          <w:rFonts w:asciiTheme="minorHAnsi" w:hAnsiTheme="minorHAnsi"/>
          <w:lang w:val="en-US"/>
        </w:rPr>
        <w:t>.</w:t>
      </w:r>
    </w:p>
    <w:p w:rsidR="00574476" w:rsidRDefault="00F00EA5" w:rsidP="00F00EA5">
      <w:pPr>
        <w:pStyle w:val="RoadefTexte"/>
        <w:tabs>
          <w:tab w:val="left" w:pos="720"/>
        </w:tabs>
        <w:spacing w:after="0" w:line="276" w:lineRule="auto"/>
        <w:ind w:firstLine="0"/>
        <w:rPr>
          <w:rFonts w:asciiTheme="minorHAnsi" w:hAnsiTheme="minorHAnsi"/>
          <w:lang w:val="en-US"/>
        </w:rPr>
      </w:pPr>
      <w:r>
        <w:rPr>
          <w:rFonts w:asciiTheme="minorHAnsi" w:hAnsiTheme="minorHAnsi"/>
          <w:lang w:val="en-US"/>
        </w:rPr>
        <w:tab/>
      </w:r>
      <w:r w:rsidR="00554C35">
        <w:rPr>
          <w:rFonts w:asciiTheme="minorHAnsi" w:hAnsiTheme="minorHAnsi"/>
          <w:lang w:val="en-US"/>
        </w:rPr>
        <w:t>Data Set II problem</w:t>
      </w:r>
      <w:r w:rsidR="0012672E">
        <w:rPr>
          <w:rFonts w:asciiTheme="minorHAnsi" w:hAnsiTheme="minorHAnsi"/>
          <w:lang w:val="en-US"/>
        </w:rPr>
        <w:t xml:space="preserve"> instance</w:t>
      </w:r>
      <w:r w:rsidR="00554C35">
        <w:rPr>
          <w:rFonts w:asciiTheme="minorHAnsi" w:hAnsiTheme="minorHAnsi"/>
          <w:lang w:val="en-US"/>
        </w:rPr>
        <w:t xml:space="preserve">s </w:t>
      </w:r>
      <w:r w:rsidR="0012672E">
        <w:rPr>
          <w:rFonts w:asciiTheme="minorHAnsi" w:hAnsiTheme="minorHAnsi"/>
          <w:lang w:val="en-US"/>
        </w:rPr>
        <w:t>are</w:t>
      </w:r>
      <w:r w:rsidR="00554C35">
        <w:rPr>
          <w:rFonts w:asciiTheme="minorHAnsi" w:hAnsiTheme="minorHAnsi"/>
          <w:lang w:val="en-US"/>
        </w:rPr>
        <w:t xml:space="preserve"> constructed considering |</w:t>
      </w:r>
      <w:r w:rsidR="00554C35" w:rsidRPr="00E51B60">
        <w:rPr>
          <w:rFonts w:asciiTheme="minorHAnsi" w:hAnsiTheme="minorHAnsi"/>
          <w:i/>
          <w:lang w:val="en-US"/>
        </w:rPr>
        <w:t>P’</w:t>
      </w:r>
      <w:r w:rsidR="00554C35">
        <w:rPr>
          <w:rFonts w:asciiTheme="minorHAnsi" w:hAnsiTheme="minorHAnsi"/>
          <w:lang w:val="en-US"/>
        </w:rPr>
        <w:t xml:space="preserve">| values taken from {5, 6, 7} and for simplicity we assume that </w:t>
      </w:r>
      <w:r w:rsidR="00554C35" w:rsidRPr="0073701B">
        <w:rPr>
          <w:rFonts w:asciiTheme="minorHAnsi" w:hAnsiTheme="minorHAnsi"/>
          <w:i/>
          <w:lang w:val="en-US"/>
        </w:rPr>
        <w:t>P’</w:t>
      </w:r>
      <w:r w:rsidR="00554C35">
        <w:rPr>
          <w:rFonts w:asciiTheme="minorHAnsi" w:hAnsiTheme="minorHAnsi"/>
          <w:lang w:val="en-US"/>
        </w:rPr>
        <w:t xml:space="preserve"> = </w:t>
      </w:r>
      <w:r w:rsidR="004A0791" w:rsidRPr="0073701B">
        <w:rPr>
          <w:rFonts w:asciiTheme="minorHAnsi" w:hAnsiTheme="minorHAnsi"/>
          <w:i/>
          <w:lang w:val="en-US"/>
        </w:rPr>
        <w:t>D</w:t>
      </w:r>
      <w:r w:rsidR="00554C35" w:rsidRPr="0073701B">
        <w:rPr>
          <w:rFonts w:asciiTheme="minorHAnsi" w:hAnsiTheme="minorHAnsi"/>
          <w:i/>
          <w:lang w:val="en-US"/>
        </w:rPr>
        <w:t>’</w:t>
      </w:r>
      <w:r w:rsidR="00554C35">
        <w:rPr>
          <w:rFonts w:asciiTheme="minorHAnsi" w:hAnsiTheme="minorHAnsi"/>
          <w:lang w:val="en-US"/>
        </w:rPr>
        <w:t xml:space="preserve">. The original </w:t>
      </w:r>
      <w:r w:rsidR="00554C35" w:rsidRPr="0073701B">
        <w:rPr>
          <w:rFonts w:asciiTheme="minorHAnsi" w:hAnsiTheme="minorHAnsi"/>
          <w:i/>
          <w:lang w:val="en-US"/>
        </w:rPr>
        <w:t>P</w:t>
      </w:r>
      <w:r w:rsidR="00554C35">
        <w:rPr>
          <w:rFonts w:asciiTheme="minorHAnsi" w:hAnsiTheme="minorHAnsi"/>
          <w:lang w:val="en-US"/>
        </w:rPr>
        <w:t xml:space="preserve"> and </w:t>
      </w:r>
      <w:r w:rsidR="004A0791" w:rsidRPr="0073701B">
        <w:rPr>
          <w:rFonts w:asciiTheme="minorHAnsi" w:hAnsiTheme="minorHAnsi"/>
          <w:i/>
          <w:lang w:val="en-US"/>
        </w:rPr>
        <w:t>D</w:t>
      </w:r>
      <w:r w:rsidR="00554C35">
        <w:rPr>
          <w:rFonts w:asciiTheme="minorHAnsi" w:hAnsiTheme="minorHAnsi"/>
          <w:lang w:val="en-US"/>
        </w:rPr>
        <w:t xml:space="preserve"> nodes are placed within the [</w:t>
      </w:r>
      <w:r w:rsidR="00AF3B82">
        <w:rPr>
          <w:rFonts w:asciiTheme="minorHAnsi" w:hAnsiTheme="minorHAnsi"/>
          <w:lang w:val="en-US"/>
        </w:rPr>
        <w:t>0</w:t>
      </w:r>
      <w:r w:rsidR="00554C35">
        <w:rPr>
          <w:rFonts w:asciiTheme="minorHAnsi" w:hAnsiTheme="minorHAnsi"/>
          <w:lang w:val="en-US"/>
        </w:rPr>
        <w:t xml:space="preserve">, </w:t>
      </w:r>
      <w:r w:rsidR="00AF3B82">
        <w:rPr>
          <w:rFonts w:asciiTheme="minorHAnsi" w:hAnsiTheme="minorHAnsi"/>
          <w:lang w:val="en-US"/>
        </w:rPr>
        <w:t>100</w:t>
      </w:r>
      <w:r w:rsidR="00554C35">
        <w:rPr>
          <w:rFonts w:asciiTheme="minorHAnsi" w:hAnsiTheme="minorHAnsi"/>
          <w:lang w:val="en-US"/>
        </w:rPr>
        <w:t xml:space="preserve">] grid. Two geographic </w:t>
      </w:r>
      <w:r w:rsidR="00554C35" w:rsidRPr="004D49B0">
        <w:rPr>
          <w:rFonts w:asciiTheme="minorHAnsi" w:hAnsiTheme="minorHAnsi"/>
          <w:lang w:val="en-US"/>
        </w:rPr>
        <w:t xml:space="preserve">distribution </w:t>
      </w:r>
      <w:r w:rsidR="00554C35">
        <w:rPr>
          <w:rFonts w:asciiTheme="minorHAnsi" w:hAnsiTheme="minorHAnsi"/>
          <w:lang w:val="en-US"/>
        </w:rPr>
        <w:t xml:space="preserve">classes are examined, </w:t>
      </w:r>
      <w:r w:rsidR="00554C35" w:rsidRPr="004D49B0">
        <w:rPr>
          <w:rFonts w:asciiTheme="minorHAnsi" w:hAnsiTheme="minorHAnsi"/>
          <w:lang w:val="en-US"/>
        </w:rPr>
        <w:t>namely</w:t>
      </w:r>
      <w:r w:rsidR="00554C35">
        <w:rPr>
          <w:rFonts w:asciiTheme="minorHAnsi" w:hAnsiTheme="minorHAnsi"/>
          <w:lang w:val="en-US"/>
        </w:rPr>
        <w:t xml:space="preserve"> r</w:t>
      </w:r>
      <w:r w:rsidR="00554C35" w:rsidRPr="004D49B0">
        <w:rPr>
          <w:rFonts w:asciiTheme="minorHAnsi" w:hAnsiTheme="minorHAnsi"/>
          <w:lang w:val="en-US"/>
        </w:rPr>
        <w:t xml:space="preserve">andom </w:t>
      </w:r>
      <w:r w:rsidR="00554C35">
        <w:rPr>
          <w:rFonts w:asciiTheme="minorHAnsi" w:hAnsiTheme="minorHAnsi"/>
          <w:lang w:val="en-US"/>
        </w:rPr>
        <w:t>(</w:t>
      </w:r>
      <w:r w:rsidR="00554C35" w:rsidRPr="00C26B18">
        <w:rPr>
          <w:rFonts w:asciiTheme="minorHAnsi" w:hAnsiTheme="minorHAnsi"/>
          <w:i/>
          <w:lang w:val="en-US"/>
        </w:rPr>
        <w:t>R</w:t>
      </w:r>
      <w:r w:rsidR="00554C35" w:rsidRPr="00554C35">
        <w:rPr>
          <w:rFonts w:asciiTheme="minorHAnsi" w:hAnsiTheme="minorHAnsi"/>
          <w:lang w:val="en-US"/>
        </w:rPr>
        <w:t>)</w:t>
      </w:r>
      <w:r w:rsidR="00554C35" w:rsidRPr="004D49B0">
        <w:rPr>
          <w:rFonts w:asciiTheme="minorHAnsi" w:hAnsiTheme="minorHAnsi"/>
          <w:lang w:val="en-US"/>
        </w:rPr>
        <w:t xml:space="preserve"> and </w:t>
      </w:r>
      <w:r w:rsidR="00554C35">
        <w:rPr>
          <w:rFonts w:asciiTheme="minorHAnsi" w:hAnsiTheme="minorHAnsi"/>
          <w:lang w:val="en-US"/>
        </w:rPr>
        <w:t>c</w:t>
      </w:r>
      <w:r w:rsidR="00554C35" w:rsidRPr="004D49B0">
        <w:rPr>
          <w:rFonts w:asciiTheme="minorHAnsi" w:hAnsiTheme="minorHAnsi"/>
          <w:lang w:val="en-US"/>
        </w:rPr>
        <w:t xml:space="preserve">lustered </w:t>
      </w:r>
      <w:r w:rsidR="00554C35">
        <w:rPr>
          <w:rFonts w:asciiTheme="minorHAnsi" w:hAnsiTheme="minorHAnsi"/>
          <w:lang w:val="en-US"/>
        </w:rPr>
        <w:t>(</w:t>
      </w:r>
      <w:r w:rsidR="00554C35" w:rsidRPr="00C26B18">
        <w:rPr>
          <w:rFonts w:asciiTheme="minorHAnsi" w:hAnsiTheme="minorHAnsi"/>
          <w:i/>
          <w:lang w:val="en-US"/>
        </w:rPr>
        <w:t>C</w:t>
      </w:r>
      <w:r w:rsidR="00554C35" w:rsidRPr="00554C35">
        <w:rPr>
          <w:rFonts w:asciiTheme="minorHAnsi" w:hAnsiTheme="minorHAnsi"/>
          <w:lang w:val="en-US"/>
        </w:rPr>
        <w:t>)</w:t>
      </w:r>
      <w:r w:rsidR="00554C35" w:rsidRPr="004D49B0">
        <w:rPr>
          <w:rFonts w:asciiTheme="minorHAnsi" w:hAnsiTheme="minorHAnsi"/>
          <w:lang w:val="en-US"/>
        </w:rPr>
        <w:t xml:space="preserve">. </w:t>
      </w:r>
      <w:r w:rsidR="00554C35">
        <w:rPr>
          <w:rFonts w:asciiTheme="minorHAnsi" w:hAnsiTheme="minorHAnsi"/>
          <w:lang w:val="en-US"/>
        </w:rPr>
        <w:t xml:space="preserve">For the </w:t>
      </w:r>
      <w:r w:rsidR="00554C35" w:rsidRPr="004A0791">
        <w:rPr>
          <w:rFonts w:asciiTheme="minorHAnsi" w:hAnsiTheme="minorHAnsi"/>
          <w:i/>
          <w:lang w:val="en-US"/>
        </w:rPr>
        <w:t>R</w:t>
      </w:r>
      <w:r w:rsidR="00554C35">
        <w:rPr>
          <w:rFonts w:asciiTheme="minorHAnsi" w:hAnsiTheme="minorHAnsi"/>
          <w:lang w:val="en-US"/>
        </w:rPr>
        <w:t xml:space="preserve"> class, all nodes are </w:t>
      </w:r>
      <w:r w:rsidR="004A0791">
        <w:rPr>
          <w:rFonts w:asciiTheme="minorHAnsi" w:hAnsiTheme="minorHAnsi"/>
          <w:lang w:val="en-US"/>
        </w:rPr>
        <w:t>randomly located in the</w:t>
      </w:r>
      <w:r w:rsidR="00554C35" w:rsidRPr="004D49B0">
        <w:rPr>
          <w:rFonts w:asciiTheme="minorHAnsi" w:hAnsiTheme="minorHAnsi"/>
          <w:lang w:val="en-US"/>
        </w:rPr>
        <w:t xml:space="preserve"> </w:t>
      </w:r>
      <w:bookmarkStart w:id="532" w:name="OLE_LINK688"/>
      <w:bookmarkStart w:id="533" w:name="OLE_LINK689"/>
      <w:r w:rsidR="00554C35" w:rsidRPr="004D49B0">
        <w:rPr>
          <w:rFonts w:asciiTheme="minorHAnsi" w:hAnsiTheme="minorHAnsi"/>
          <w:lang w:val="en-US"/>
        </w:rPr>
        <w:t>[0,100]</w:t>
      </w:r>
      <w:r w:rsidR="00554C35" w:rsidRPr="004D49B0">
        <w:rPr>
          <w:rFonts w:asciiTheme="minorHAnsi" w:hAnsiTheme="minorHAnsi"/>
          <w:vertAlign w:val="superscript"/>
          <w:lang w:val="en-US"/>
        </w:rPr>
        <w:t xml:space="preserve">2 </w:t>
      </w:r>
      <w:bookmarkEnd w:id="532"/>
      <w:bookmarkEnd w:id="533"/>
      <w:r w:rsidR="00554C35" w:rsidRPr="004D49B0">
        <w:rPr>
          <w:rFonts w:asciiTheme="minorHAnsi" w:hAnsiTheme="minorHAnsi"/>
          <w:lang w:val="en-US"/>
        </w:rPr>
        <w:t>grid</w:t>
      </w:r>
      <w:r w:rsidR="004A0791">
        <w:rPr>
          <w:rFonts w:asciiTheme="minorHAnsi" w:hAnsiTheme="minorHAnsi"/>
          <w:lang w:val="en-US"/>
        </w:rPr>
        <w:t>,</w:t>
      </w:r>
      <w:r w:rsidR="00554C35" w:rsidRPr="004D49B0">
        <w:rPr>
          <w:rFonts w:asciiTheme="minorHAnsi" w:hAnsiTheme="minorHAnsi"/>
          <w:lang w:val="en-US"/>
        </w:rPr>
        <w:t xml:space="preserve"> wh</w:t>
      </w:r>
      <w:r w:rsidR="004A0791">
        <w:rPr>
          <w:rFonts w:asciiTheme="minorHAnsi" w:hAnsiTheme="minorHAnsi"/>
          <w:lang w:val="en-US"/>
        </w:rPr>
        <w:t>ereas</w:t>
      </w:r>
      <w:r w:rsidR="00554C35" w:rsidRPr="004D49B0">
        <w:rPr>
          <w:rFonts w:asciiTheme="minorHAnsi" w:hAnsiTheme="minorHAnsi"/>
          <w:lang w:val="en-US"/>
        </w:rPr>
        <w:t xml:space="preserve"> </w:t>
      </w:r>
      <w:r w:rsidR="004A0791">
        <w:rPr>
          <w:rFonts w:asciiTheme="minorHAnsi" w:hAnsiTheme="minorHAnsi"/>
          <w:lang w:val="en-US"/>
        </w:rPr>
        <w:t xml:space="preserve">for the </w:t>
      </w:r>
      <w:r w:rsidR="004A0791" w:rsidRPr="00085F06">
        <w:rPr>
          <w:rFonts w:asciiTheme="minorHAnsi" w:hAnsiTheme="minorHAnsi"/>
          <w:i/>
          <w:lang w:val="en-US"/>
        </w:rPr>
        <w:t>C</w:t>
      </w:r>
      <w:r w:rsidR="004A0791">
        <w:rPr>
          <w:rFonts w:asciiTheme="minorHAnsi" w:hAnsiTheme="minorHAnsi"/>
          <w:lang w:val="en-US"/>
        </w:rPr>
        <w:t xml:space="preserve"> class</w:t>
      </w:r>
      <w:r w:rsidR="00554C35" w:rsidRPr="004D49B0">
        <w:rPr>
          <w:rFonts w:asciiTheme="minorHAnsi" w:hAnsiTheme="minorHAnsi"/>
          <w:lang w:val="en-US"/>
        </w:rPr>
        <w:t xml:space="preserve">, </w:t>
      </w:r>
      <w:r w:rsidR="004A0791">
        <w:rPr>
          <w:rFonts w:asciiTheme="minorHAnsi" w:hAnsiTheme="minorHAnsi"/>
          <w:lang w:val="en-US"/>
        </w:rPr>
        <w:t xml:space="preserve">the </w:t>
      </w:r>
      <w:r w:rsidR="004A0791" w:rsidRPr="00085F06">
        <w:rPr>
          <w:rFonts w:asciiTheme="minorHAnsi" w:hAnsiTheme="minorHAnsi"/>
          <w:i/>
          <w:lang w:val="en-US"/>
        </w:rPr>
        <w:t>P’</w:t>
      </w:r>
      <w:r w:rsidR="004A0791">
        <w:rPr>
          <w:rFonts w:asciiTheme="minorHAnsi" w:hAnsiTheme="minorHAnsi"/>
          <w:lang w:val="en-US"/>
        </w:rPr>
        <w:t xml:space="preserve"> </w:t>
      </w:r>
      <w:r w:rsidR="00554C35" w:rsidRPr="004D49B0">
        <w:rPr>
          <w:rFonts w:asciiTheme="minorHAnsi" w:hAnsiTheme="minorHAnsi"/>
          <w:lang w:val="en-US"/>
        </w:rPr>
        <w:t xml:space="preserve">nodes </w:t>
      </w:r>
      <w:r w:rsidR="004A0791">
        <w:rPr>
          <w:rFonts w:asciiTheme="minorHAnsi" w:hAnsiTheme="minorHAnsi"/>
          <w:lang w:val="en-US"/>
        </w:rPr>
        <w:t xml:space="preserve">and </w:t>
      </w:r>
      <w:r w:rsidR="004A0791" w:rsidRPr="00085F06">
        <w:rPr>
          <w:rFonts w:asciiTheme="minorHAnsi" w:hAnsiTheme="minorHAnsi"/>
          <w:i/>
          <w:lang w:val="en-US"/>
        </w:rPr>
        <w:t>D’</w:t>
      </w:r>
      <w:r w:rsidR="004A0791">
        <w:rPr>
          <w:rFonts w:asciiTheme="minorHAnsi" w:hAnsiTheme="minorHAnsi"/>
          <w:lang w:val="en-US"/>
        </w:rPr>
        <w:t xml:space="preserve"> nodes are grouped into two separate clusters positioned </w:t>
      </w:r>
      <w:r w:rsidR="00554C35" w:rsidRPr="004D49B0">
        <w:rPr>
          <w:rFonts w:asciiTheme="minorHAnsi" w:hAnsiTheme="minorHAnsi"/>
          <w:lang w:val="en-US"/>
        </w:rPr>
        <w:t>in the upper and lower part</w:t>
      </w:r>
      <w:r w:rsidR="004A0791">
        <w:rPr>
          <w:rFonts w:asciiTheme="minorHAnsi" w:hAnsiTheme="minorHAnsi"/>
          <w:lang w:val="en-US"/>
        </w:rPr>
        <w:t>s</w:t>
      </w:r>
      <w:r w:rsidR="00554C35" w:rsidRPr="004D49B0">
        <w:rPr>
          <w:rFonts w:asciiTheme="minorHAnsi" w:hAnsiTheme="minorHAnsi"/>
          <w:lang w:val="en-US"/>
        </w:rPr>
        <w:t xml:space="preserve"> of the</w:t>
      </w:r>
      <w:r w:rsidR="00574476">
        <w:rPr>
          <w:rFonts w:asciiTheme="minorHAnsi" w:hAnsiTheme="minorHAnsi"/>
          <w:lang w:val="en-US"/>
        </w:rPr>
        <w:t xml:space="preserve"> </w:t>
      </w:r>
      <w:r w:rsidR="00574476" w:rsidRPr="004D49B0">
        <w:rPr>
          <w:rFonts w:asciiTheme="minorHAnsi" w:hAnsiTheme="minorHAnsi"/>
          <w:lang w:val="en-US"/>
        </w:rPr>
        <w:t>[0,100]</w:t>
      </w:r>
      <w:r w:rsidR="00574476" w:rsidRPr="004D49B0">
        <w:rPr>
          <w:rFonts w:asciiTheme="minorHAnsi" w:hAnsiTheme="minorHAnsi"/>
          <w:vertAlign w:val="superscript"/>
          <w:lang w:val="en-US"/>
        </w:rPr>
        <w:t>2</w:t>
      </w:r>
      <w:r w:rsidR="00554C35" w:rsidRPr="004D49B0">
        <w:rPr>
          <w:rFonts w:asciiTheme="minorHAnsi" w:hAnsiTheme="minorHAnsi"/>
          <w:lang w:val="en-US"/>
        </w:rPr>
        <w:t xml:space="preserve"> grid. </w:t>
      </w:r>
      <w:r w:rsidR="00471833">
        <w:rPr>
          <w:rFonts w:asciiTheme="minorHAnsi" w:hAnsiTheme="minorHAnsi"/>
          <w:lang w:val="en-US"/>
        </w:rPr>
        <w:t>In order to broaden the scope of our analysis</w:t>
      </w:r>
      <w:r w:rsidR="0012672E">
        <w:rPr>
          <w:rFonts w:asciiTheme="minorHAnsi" w:hAnsiTheme="minorHAnsi"/>
          <w:lang w:val="en-US"/>
        </w:rPr>
        <w:t>,</w:t>
      </w:r>
      <w:r w:rsidR="00471833">
        <w:rPr>
          <w:rFonts w:asciiTheme="minorHAnsi" w:hAnsiTheme="minorHAnsi"/>
          <w:lang w:val="en-US"/>
        </w:rPr>
        <w:t xml:space="preserve"> we consider three different </w:t>
      </w:r>
      <w:r w:rsidR="00CD0671">
        <w:rPr>
          <w:rFonts w:asciiTheme="minorHAnsi" w:hAnsiTheme="minorHAnsi"/>
          <w:lang w:val="en-US"/>
        </w:rPr>
        <w:t>classes</w:t>
      </w:r>
      <w:r w:rsidR="00471833">
        <w:rPr>
          <w:rFonts w:asciiTheme="minorHAnsi" w:hAnsiTheme="minorHAnsi"/>
          <w:lang w:val="en-US"/>
        </w:rPr>
        <w:t xml:space="preserve"> of</w:t>
      </w:r>
      <w:r w:rsidR="00471833" w:rsidRPr="004D49B0">
        <w:rPr>
          <w:rFonts w:asciiTheme="minorHAnsi" w:hAnsiTheme="minorHAnsi"/>
          <w:lang w:val="en-US"/>
        </w:rPr>
        <w:t xml:space="preserve"> assignment of supplier-customer pairs (</w:t>
      </w:r>
      <w:r w:rsidR="0012672E" w:rsidRPr="0012672E">
        <w:rPr>
          <w:rFonts w:asciiTheme="minorHAnsi" w:hAnsiTheme="minorHAnsi"/>
          <w:i/>
          <w:lang w:val="en-US"/>
        </w:rPr>
        <w:t>A</w:t>
      </w:r>
      <w:r w:rsidR="00471833" w:rsidRPr="0012672E">
        <w:rPr>
          <w:rFonts w:asciiTheme="minorHAnsi" w:hAnsiTheme="minorHAnsi"/>
          <w:i/>
          <w:lang w:val="en-US"/>
        </w:rPr>
        <w:t>A</w:t>
      </w:r>
      <w:r w:rsidR="00471833" w:rsidRPr="00471833">
        <w:rPr>
          <w:rFonts w:asciiTheme="minorHAnsi" w:hAnsiTheme="minorHAnsi"/>
          <w:i/>
          <w:lang w:val="en-US"/>
        </w:rPr>
        <w:t xml:space="preserve">, </w:t>
      </w:r>
      <w:r w:rsidR="0012672E" w:rsidRPr="0012672E">
        <w:rPr>
          <w:rFonts w:asciiTheme="minorHAnsi" w:hAnsiTheme="minorHAnsi"/>
          <w:i/>
          <w:lang w:val="en-US"/>
        </w:rPr>
        <w:t>A</w:t>
      </w:r>
      <w:r w:rsidR="00471833" w:rsidRPr="0012672E">
        <w:rPr>
          <w:rFonts w:asciiTheme="minorHAnsi" w:hAnsiTheme="minorHAnsi"/>
          <w:i/>
          <w:lang w:val="en-US"/>
        </w:rPr>
        <w:t>B</w:t>
      </w:r>
      <w:r w:rsidR="00471833" w:rsidRPr="00471833">
        <w:rPr>
          <w:rFonts w:asciiTheme="minorHAnsi" w:hAnsiTheme="minorHAnsi"/>
          <w:i/>
          <w:lang w:val="en-US"/>
        </w:rPr>
        <w:t xml:space="preserve">, </w:t>
      </w:r>
      <w:r w:rsidR="00471833">
        <w:rPr>
          <w:rFonts w:asciiTheme="minorHAnsi" w:hAnsiTheme="minorHAnsi"/>
          <w:lang w:val="en-US"/>
        </w:rPr>
        <w:t xml:space="preserve">and </w:t>
      </w:r>
      <w:r w:rsidR="0012672E" w:rsidRPr="0012672E">
        <w:rPr>
          <w:rFonts w:asciiTheme="minorHAnsi" w:hAnsiTheme="minorHAnsi"/>
          <w:i/>
          <w:lang w:val="en-US"/>
        </w:rPr>
        <w:t>A</w:t>
      </w:r>
      <w:r w:rsidR="00471833" w:rsidRPr="0012672E">
        <w:rPr>
          <w:rFonts w:asciiTheme="minorHAnsi" w:hAnsiTheme="minorHAnsi"/>
          <w:i/>
          <w:lang w:val="en-US"/>
        </w:rPr>
        <w:t>C</w:t>
      </w:r>
      <w:r w:rsidR="00471833" w:rsidRPr="004D49B0">
        <w:rPr>
          <w:rFonts w:asciiTheme="minorHAnsi" w:hAnsiTheme="minorHAnsi"/>
          <w:lang w:val="en-US"/>
        </w:rPr>
        <w:t xml:space="preserve">). </w:t>
      </w:r>
      <w:r w:rsidR="00574476">
        <w:rPr>
          <w:rFonts w:asciiTheme="minorHAnsi" w:hAnsiTheme="minorHAnsi"/>
          <w:lang w:val="en-US"/>
        </w:rPr>
        <w:t xml:space="preserve">In total, </w:t>
      </w:r>
      <w:r w:rsidR="00471833">
        <w:rPr>
          <w:rFonts w:asciiTheme="minorHAnsi" w:hAnsiTheme="minorHAnsi"/>
          <w:lang w:val="en-US"/>
        </w:rPr>
        <w:t>18</w:t>
      </w:r>
      <w:r w:rsidR="00574476">
        <w:rPr>
          <w:rFonts w:asciiTheme="minorHAnsi" w:hAnsiTheme="minorHAnsi"/>
          <w:lang w:val="en-US"/>
        </w:rPr>
        <w:t xml:space="preserve"> graphs of </w:t>
      </w:r>
      <w:bookmarkStart w:id="534" w:name="OLE_LINK767"/>
      <w:bookmarkStart w:id="535" w:name="OLE_LINK768"/>
      <w:bookmarkStart w:id="536" w:name="OLE_LINK799"/>
      <w:r w:rsidR="00574476" w:rsidRPr="00471833">
        <w:rPr>
          <w:rFonts w:asciiTheme="minorHAnsi" w:hAnsiTheme="minorHAnsi"/>
          <w:i/>
          <w:lang w:val="en-US"/>
        </w:rPr>
        <w:t>P</w:t>
      </w:r>
      <w:r w:rsidR="00975A71" w:rsidRPr="00471833">
        <w:rPr>
          <w:rFonts w:asciiTheme="minorHAnsi" w:hAnsiTheme="minorHAnsi"/>
          <w:i/>
          <w:lang w:val="en-US"/>
        </w:rPr>
        <w:t>’</w:t>
      </w:r>
      <w:r w:rsidR="00574476">
        <w:rPr>
          <w:rFonts w:asciiTheme="minorHAnsi" w:hAnsiTheme="minorHAnsi"/>
          <w:lang w:val="en-US"/>
        </w:rPr>
        <w:t xml:space="preserve"> and </w:t>
      </w:r>
      <w:r w:rsidR="00574476" w:rsidRPr="00471833">
        <w:rPr>
          <w:rFonts w:asciiTheme="minorHAnsi" w:hAnsiTheme="minorHAnsi"/>
          <w:i/>
          <w:lang w:val="en-US"/>
        </w:rPr>
        <w:t>R</w:t>
      </w:r>
      <w:r w:rsidR="00975A71" w:rsidRPr="00471833">
        <w:rPr>
          <w:rFonts w:asciiTheme="minorHAnsi" w:hAnsiTheme="minorHAnsi"/>
          <w:i/>
          <w:lang w:val="en-US"/>
        </w:rPr>
        <w:t>’</w:t>
      </w:r>
      <w:r w:rsidR="00574476">
        <w:rPr>
          <w:rFonts w:asciiTheme="minorHAnsi" w:hAnsiTheme="minorHAnsi"/>
          <w:lang w:val="en-US"/>
        </w:rPr>
        <w:t xml:space="preserve"> </w:t>
      </w:r>
      <w:bookmarkEnd w:id="534"/>
      <w:bookmarkEnd w:id="535"/>
      <w:bookmarkEnd w:id="536"/>
      <w:r w:rsidR="00574476">
        <w:rPr>
          <w:rFonts w:asciiTheme="minorHAnsi" w:hAnsiTheme="minorHAnsi"/>
          <w:lang w:val="en-US"/>
        </w:rPr>
        <w:t>nodes are constructed</w:t>
      </w:r>
      <w:r w:rsidR="00535FB9">
        <w:rPr>
          <w:rFonts w:asciiTheme="minorHAnsi" w:hAnsiTheme="minorHAnsi"/>
          <w:lang w:val="en-US"/>
        </w:rPr>
        <w:t xml:space="preserve"> (3 sizes x 2 distribution classes</w:t>
      </w:r>
      <w:r w:rsidR="00471833">
        <w:rPr>
          <w:rFonts w:asciiTheme="minorHAnsi" w:hAnsiTheme="minorHAnsi"/>
          <w:lang w:val="en-US"/>
        </w:rPr>
        <w:t xml:space="preserve"> </w:t>
      </w:r>
      <w:r w:rsidR="0012672E">
        <w:rPr>
          <w:rFonts w:asciiTheme="minorHAnsi" w:hAnsiTheme="minorHAnsi"/>
          <w:lang w:val="en-US"/>
        </w:rPr>
        <w:t>x</w:t>
      </w:r>
      <w:r w:rsidR="00471833">
        <w:rPr>
          <w:rFonts w:asciiTheme="minorHAnsi" w:hAnsiTheme="minorHAnsi"/>
          <w:lang w:val="en-US"/>
        </w:rPr>
        <w:t xml:space="preserve"> 3 supplier-customer pair </w:t>
      </w:r>
      <w:r w:rsidR="00471833" w:rsidRPr="004D49B0">
        <w:rPr>
          <w:rFonts w:asciiTheme="minorHAnsi" w:hAnsiTheme="minorHAnsi"/>
          <w:lang w:val="en-US"/>
        </w:rPr>
        <w:t>assignment</w:t>
      </w:r>
      <w:r w:rsidR="00535FB9">
        <w:rPr>
          <w:rFonts w:asciiTheme="minorHAnsi" w:hAnsiTheme="minorHAnsi"/>
          <w:lang w:val="en-US"/>
        </w:rPr>
        <w:t>)</w:t>
      </w:r>
      <w:r w:rsidR="00574476">
        <w:rPr>
          <w:rFonts w:asciiTheme="minorHAnsi" w:hAnsiTheme="minorHAnsi"/>
          <w:lang w:val="en-US"/>
        </w:rPr>
        <w:t>.</w:t>
      </w:r>
      <w:r w:rsidR="00975A71">
        <w:rPr>
          <w:rFonts w:asciiTheme="minorHAnsi" w:hAnsiTheme="minorHAnsi"/>
          <w:lang w:val="en-US"/>
        </w:rPr>
        <w:t xml:space="preserve"> As mentioned earlier, three demand matrix classes are examined</w:t>
      </w:r>
      <w:r w:rsidR="00535FB9">
        <w:rPr>
          <w:rFonts w:asciiTheme="minorHAnsi" w:hAnsiTheme="minorHAnsi"/>
          <w:lang w:val="en-US"/>
        </w:rPr>
        <w:t xml:space="preserve">, and for each of this class three demand matrices are introduced, defining in total </w:t>
      </w:r>
      <w:bookmarkStart w:id="537" w:name="OLE_LINK804"/>
      <w:bookmarkStart w:id="538" w:name="OLE_LINK808"/>
      <w:r w:rsidR="00535FB9">
        <w:rPr>
          <w:rFonts w:asciiTheme="minorHAnsi" w:hAnsiTheme="minorHAnsi"/>
          <w:lang w:val="en-US"/>
        </w:rPr>
        <w:t xml:space="preserve">54 request sets </w:t>
      </w:r>
      <w:bookmarkEnd w:id="537"/>
      <w:bookmarkEnd w:id="538"/>
      <w:r w:rsidR="00535FB9">
        <w:rPr>
          <w:rFonts w:asciiTheme="minorHAnsi" w:hAnsiTheme="minorHAnsi"/>
          <w:lang w:val="en-US"/>
        </w:rPr>
        <w:t xml:space="preserve">(6 </w:t>
      </w:r>
      <w:r w:rsidR="00535FB9" w:rsidRPr="00085F06">
        <w:rPr>
          <w:rFonts w:asciiTheme="minorHAnsi" w:hAnsiTheme="minorHAnsi"/>
          <w:i/>
          <w:lang w:val="en-US"/>
        </w:rPr>
        <w:t>P’</w:t>
      </w:r>
      <w:r w:rsidR="00535FB9">
        <w:rPr>
          <w:rFonts w:asciiTheme="minorHAnsi" w:hAnsiTheme="minorHAnsi"/>
          <w:lang w:val="en-US"/>
        </w:rPr>
        <w:t xml:space="preserve"> and </w:t>
      </w:r>
      <w:r w:rsidR="00535FB9" w:rsidRPr="00085F06">
        <w:rPr>
          <w:rFonts w:asciiTheme="minorHAnsi" w:hAnsiTheme="minorHAnsi"/>
          <w:i/>
          <w:lang w:val="en-US"/>
        </w:rPr>
        <w:t>R’</w:t>
      </w:r>
      <w:r w:rsidR="00535FB9">
        <w:rPr>
          <w:rFonts w:asciiTheme="minorHAnsi" w:hAnsiTheme="minorHAnsi"/>
          <w:lang w:val="en-US"/>
        </w:rPr>
        <w:t xml:space="preserve"> graphs x 3 demand matrix classes x 3 matrices per demand matrix class). </w:t>
      </w:r>
      <w:r w:rsidR="00B94EFE">
        <w:rPr>
          <w:rFonts w:asciiTheme="minorHAnsi" w:hAnsiTheme="minorHAnsi"/>
          <w:lang w:val="en-US"/>
        </w:rPr>
        <w:t>An illustration</w:t>
      </w:r>
      <w:r w:rsidR="00B94EFE" w:rsidRPr="00B94EFE">
        <w:rPr>
          <w:rFonts w:asciiTheme="minorHAnsi" w:hAnsiTheme="minorHAnsi"/>
          <w:lang w:val="en-US"/>
        </w:rPr>
        <w:t xml:space="preserve"> of the geographic distribution classes (</w:t>
      </w:r>
      <w:r w:rsidR="00B94EFE" w:rsidRPr="00B94EFE">
        <w:rPr>
          <w:rFonts w:asciiTheme="minorHAnsi" w:hAnsiTheme="minorHAnsi"/>
          <w:i/>
          <w:lang w:val="en-US"/>
        </w:rPr>
        <w:t>R, C</w:t>
      </w:r>
      <w:r w:rsidR="00B94EFE" w:rsidRPr="00B94EFE">
        <w:rPr>
          <w:rFonts w:asciiTheme="minorHAnsi" w:hAnsiTheme="minorHAnsi"/>
          <w:lang w:val="en-US"/>
        </w:rPr>
        <w:t xml:space="preserve">) for a problem instance </w:t>
      </w:r>
      <w:r w:rsidR="00E51B60">
        <w:rPr>
          <w:rFonts w:asciiTheme="minorHAnsi" w:hAnsiTheme="minorHAnsi"/>
          <w:lang w:val="en-US"/>
        </w:rPr>
        <w:t>with |</w:t>
      </w:r>
      <w:r w:rsidR="00E51B60" w:rsidRPr="00E51B60">
        <w:rPr>
          <w:rFonts w:asciiTheme="minorHAnsi" w:hAnsiTheme="minorHAnsi"/>
          <w:i/>
          <w:lang w:val="en-US"/>
        </w:rPr>
        <w:t>P’</w:t>
      </w:r>
      <w:r w:rsidR="00E51B60">
        <w:rPr>
          <w:rFonts w:asciiTheme="minorHAnsi" w:hAnsiTheme="minorHAnsi"/>
          <w:lang w:val="en-US"/>
        </w:rPr>
        <w:t xml:space="preserve">| = 7 of the density class </w:t>
      </w:r>
      <w:r w:rsidR="00E51B60" w:rsidRPr="00275ADB">
        <w:rPr>
          <w:rFonts w:asciiTheme="minorHAnsi" w:eastAsiaTheme="minorHAnsi" w:hAnsiTheme="minorHAnsi" w:cstheme="minorBidi"/>
          <w:i/>
          <w:lang w:val="en-US"/>
        </w:rPr>
        <w:t>DM3</w:t>
      </w:r>
      <w:r w:rsidR="00B94EFE">
        <w:rPr>
          <w:rFonts w:asciiTheme="minorHAnsi" w:hAnsiTheme="minorHAnsi"/>
          <w:lang w:val="en-US"/>
        </w:rPr>
        <w:t>, is shown in Figure 7</w:t>
      </w:r>
      <w:r w:rsidR="00B94EFE" w:rsidRPr="00B94EFE">
        <w:rPr>
          <w:rFonts w:asciiTheme="minorHAnsi" w:hAnsiTheme="minorHAnsi"/>
          <w:lang w:val="en-US"/>
        </w:rPr>
        <w:t>.</w:t>
      </w:r>
    </w:p>
    <w:p w:rsidR="005F635A" w:rsidRDefault="005F635A" w:rsidP="00554C35">
      <w:pPr>
        <w:pStyle w:val="RoadefTexte"/>
        <w:tabs>
          <w:tab w:val="left" w:pos="720"/>
        </w:tabs>
        <w:spacing w:line="276" w:lineRule="auto"/>
        <w:ind w:firstLine="0"/>
        <w:rPr>
          <w:rFonts w:asciiTheme="minorHAnsi" w:hAnsiTheme="minorHAnsi"/>
          <w:lang w:val="en-US"/>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3510"/>
      </w:tblGrid>
      <w:tr w:rsidR="004661E3" w:rsidTr="00F00EA5">
        <w:trPr>
          <w:trHeight w:val="2537"/>
        </w:trPr>
        <w:tc>
          <w:tcPr>
            <w:tcW w:w="3690" w:type="dxa"/>
          </w:tcPr>
          <w:p w:rsidR="004661E3" w:rsidRDefault="004661E3" w:rsidP="002C4739">
            <w:pPr>
              <w:rPr>
                <w:b/>
              </w:rPr>
            </w:pPr>
          </w:p>
          <w:p w:rsidR="004661E3" w:rsidRDefault="004661E3" w:rsidP="002C4739">
            <w:pPr>
              <w:jc w:val="center"/>
              <w:rPr>
                <w:b/>
              </w:rPr>
            </w:pPr>
            <w:r>
              <w:rPr>
                <w:noProof/>
              </w:rPr>
              <w:drawing>
                <wp:inline distT="0" distB="0" distL="0" distR="0">
                  <wp:extent cx="1233418" cy="1261504"/>
                  <wp:effectExtent l="19050" t="0" r="4832"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1238009" cy="1266199"/>
                          </a:xfrm>
                          <a:prstGeom prst="rect">
                            <a:avLst/>
                          </a:prstGeom>
                          <a:noFill/>
                          <a:ln w="9525">
                            <a:noFill/>
                            <a:miter lim="800000"/>
                            <a:headEnd/>
                            <a:tailEnd/>
                          </a:ln>
                        </pic:spPr>
                      </pic:pic>
                    </a:graphicData>
                  </a:graphic>
                </wp:inline>
              </w:drawing>
            </w:r>
          </w:p>
        </w:tc>
        <w:tc>
          <w:tcPr>
            <w:tcW w:w="3510" w:type="dxa"/>
          </w:tcPr>
          <w:p w:rsidR="004661E3" w:rsidRDefault="004661E3" w:rsidP="002C4739">
            <w:pPr>
              <w:rPr>
                <w:b/>
              </w:rPr>
            </w:pPr>
          </w:p>
          <w:p w:rsidR="004661E3" w:rsidRDefault="004661E3" w:rsidP="002C4739">
            <w:pPr>
              <w:jc w:val="center"/>
              <w:rPr>
                <w:b/>
              </w:rPr>
            </w:pPr>
            <w:r>
              <w:rPr>
                <w:noProof/>
              </w:rPr>
              <w:drawing>
                <wp:inline distT="0" distB="0" distL="0" distR="0">
                  <wp:extent cx="1232453" cy="1240621"/>
                  <wp:effectExtent l="19050" t="0" r="5797"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1235660" cy="1243849"/>
                          </a:xfrm>
                          <a:prstGeom prst="rect">
                            <a:avLst/>
                          </a:prstGeom>
                          <a:noFill/>
                          <a:ln w="9525">
                            <a:noFill/>
                            <a:miter lim="800000"/>
                            <a:headEnd/>
                            <a:tailEnd/>
                          </a:ln>
                        </pic:spPr>
                      </pic:pic>
                    </a:graphicData>
                  </a:graphic>
                </wp:inline>
              </w:drawing>
            </w:r>
          </w:p>
        </w:tc>
      </w:tr>
      <w:tr w:rsidR="004661E3" w:rsidTr="00F00EA5">
        <w:tc>
          <w:tcPr>
            <w:tcW w:w="3690" w:type="dxa"/>
          </w:tcPr>
          <w:p w:rsidR="004661E3" w:rsidRPr="00BD3852" w:rsidRDefault="004661E3" w:rsidP="002C4739">
            <w:pPr>
              <w:jc w:val="center"/>
              <w:rPr>
                <w:sz w:val="20"/>
              </w:rPr>
            </w:pPr>
            <w:r w:rsidRPr="00BD3852">
              <w:rPr>
                <w:sz w:val="20"/>
              </w:rPr>
              <w:t>Random distribution class</w:t>
            </w:r>
          </w:p>
          <w:p w:rsidR="004661E3" w:rsidRPr="00BD3852" w:rsidRDefault="004661E3" w:rsidP="002C4739">
            <w:pPr>
              <w:jc w:val="center"/>
              <w:rPr>
                <w:sz w:val="20"/>
              </w:rPr>
            </w:pPr>
            <w:r w:rsidRPr="00BD3852">
              <w:rPr>
                <w:sz w:val="20"/>
              </w:rPr>
              <w:t>(</w:t>
            </w:r>
            <w:r w:rsidRPr="00BD3852">
              <w:rPr>
                <w:i/>
                <w:sz w:val="20"/>
              </w:rPr>
              <w:t>R</w:t>
            </w:r>
            <w:r w:rsidRPr="00BD3852">
              <w:rPr>
                <w:sz w:val="20"/>
              </w:rPr>
              <w:t>)</w:t>
            </w:r>
          </w:p>
        </w:tc>
        <w:tc>
          <w:tcPr>
            <w:tcW w:w="3510" w:type="dxa"/>
          </w:tcPr>
          <w:p w:rsidR="004661E3" w:rsidRPr="00BD3852" w:rsidRDefault="004661E3" w:rsidP="002C4739">
            <w:pPr>
              <w:jc w:val="center"/>
              <w:rPr>
                <w:sz w:val="20"/>
              </w:rPr>
            </w:pPr>
            <w:r w:rsidRPr="00BD3852">
              <w:rPr>
                <w:sz w:val="20"/>
              </w:rPr>
              <w:t>Clustered distribution class</w:t>
            </w:r>
          </w:p>
          <w:p w:rsidR="004661E3" w:rsidRPr="00BD3852" w:rsidRDefault="004661E3" w:rsidP="002C4739">
            <w:pPr>
              <w:jc w:val="center"/>
              <w:rPr>
                <w:sz w:val="20"/>
              </w:rPr>
            </w:pPr>
            <w:r w:rsidRPr="00BD3852">
              <w:rPr>
                <w:sz w:val="20"/>
              </w:rPr>
              <w:t>(</w:t>
            </w:r>
            <w:r w:rsidRPr="00BD3852">
              <w:rPr>
                <w:i/>
                <w:sz w:val="20"/>
              </w:rPr>
              <w:t>C</w:t>
            </w:r>
            <w:r w:rsidRPr="00BD3852">
              <w:rPr>
                <w:sz w:val="20"/>
              </w:rPr>
              <w:t>)</w:t>
            </w:r>
          </w:p>
        </w:tc>
      </w:tr>
    </w:tbl>
    <w:p w:rsidR="00F00EA5" w:rsidRDefault="00F00EA5" w:rsidP="004661E3">
      <w:pPr>
        <w:pStyle w:val="RoadefTexte"/>
        <w:tabs>
          <w:tab w:val="left" w:pos="720"/>
        </w:tabs>
        <w:spacing w:line="276" w:lineRule="auto"/>
        <w:ind w:firstLine="0"/>
        <w:rPr>
          <w:rFonts w:asciiTheme="minorHAnsi" w:hAnsiTheme="minorHAnsi"/>
          <w:lang w:val="en-US"/>
        </w:rPr>
      </w:pPr>
    </w:p>
    <w:p w:rsidR="00F00EA5" w:rsidRDefault="00F00EA5" w:rsidP="004661E3">
      <w:pPr>
        <w:pStyle w:val="RoadefTexte"/>
        <w:tabs>
          <w:tab w:val="left" w:pos="720"/>
        </w:tabs>
        <w:spacing w:line="276" w:lineRule="auto"/>
        <w:ind w:firstLine="0"/>
        <w:rPr>
          <w:rFonts w:asciiTheme="minorHAnsi" w:hAnsiTheme="minorHAnsi"/>
          <w:lang w:val="en-US"/>
        </w:rPr>
      </w:pPr>
      <w:proofErr w:type="gramStart"/>
      <w:r w:rsidRPr="00F00EA5">
        <w:rPr>
          <w:rFonts w:asciiTheme="minorHAnsi" w:hAnsiTheme="minorHAnsi"/>
          <w:b/>
          <w:lang w:val="en-US"/>
        </w:rPr>
        <w:t>Figure 7</w:t>
      </w:r>
      <w:r w:rsidR="00BF1F6F">
        <w:rPr>
          <w:rFonts w:asciiTheme="minorHAnsi" w:hAnsiTheme="minorHAnsi"/>
          <w:lang w:val="en-US"/>
        </w:rPr>
        <w:t>.</w:t>
      </w:r>
      <w:proofErr w:type="gramEnd"/>
      <w:r w:rsidR="00BF1F6F">
        <w:rPr>
          <w:rFonts w:asciiTheme="minorHAnsi" w:hAnsiTheme="minorHAnsi"/>
          <w:lang w:val="en-US"/>
        </w:rPr>
        <w:t xml:space="preserve"> </w:t>
      </w:r>
      <w:r w:rsidRPr="00F00EA5">
        <w:rPr>
          <w:rFonts w:asciiTheme="minorHAnsi" w:hAnsiTheme="minorHAnsi"/>
          <w:lang w:val="en-US"/>
        </w:rPr>
        <w:t>Illustration of the geographic distribution classes (R, C) for a problem instance with |P’| = 7 of the density class DM3.</w:t>
      </w:r>
    </w:p>
    <w:p w:rsidR="004661E3" w:rsidRPr="004661E3" w:rsidRDefault="00F00EA5" w:rsidP="004661E3">
      <w:pPr>
        <w:pStyle w:val="RoadefTexte"/>
        <w:tabs>
          <w:tab w:val="left" w:pos="720"/>
        </w:tabs>
        <w:spacing w:line="276" w:lineRule="auto"/>
        <w:ind w:firstLine="0"/>
        <w:rPr>
          <w:rFonts w:asciiTheme="minorHAnsi" w:hAnsiTheme="minorHAnsi"/>
          <w:lang w:val="en-US"/>
        </w:rPr>
      </w:pPr>
      <w:r>
        <w:rPr>
          <w:rFonts w:asciiTheme="minorHAnsi" w:hAnsiTheme="minorHAnsi"/>
          <w:lang w:val="en-US"/>
        </w:rPr>
        <w:tab/>
      </w:r>
      <w:r w:rsidR="00535FB9">
        <w:rPr>
          <w:rFonts w:asciiTheme="minorHAnsi" w:hAnsiTheme="minorHAnsi"/>
          <w:lang w:val="en-US"/>
        </w:rPr>
        <w:t>To finalize t</w:t>
      </w:r>
      <w:r w:rsidR="003E6613">
        <w:rPr>
          <w:rFonts w:asciiTheme="minorHAnsi" w:hAnsiTheme="minorHAnsi"/>
          <w:lang w:val="en-US"/>
        </w:rPr>
        <w:t xml:space="preserve">he Data Set II </w:t>
      </w:r>
      <w:r w:rsidR="0012672E">
        <w:rPr>
          <w:rFonts w:asciiTheme="minorHAnsi" w:hAnsiTheme="minorHAnsi"/>
          <w:lang w:val="en-US"/>
        </w:rPr>
        <w:t xml:space="preserve">problem </w:t>
      </w:r>
      <w:r w:rsidR="003E6613">
        <w:rPr>
          <w:rFonts w:asciiTheme="minorHAnsi" w:hAnsiTheme="minorHAnsi"/>
          <w:lang w:val="en-US"/>
        </w:rPr>
        <w:t>instances, we ha</w:t>
      </w:r>
      <w:r w:rsidR="00535FB9">
        <w:rPr>
          <w:rFonts w:asciiTheme="minorHAnsi" w:hAnsiTheme="minorHAnsi"/>
          <w:lang w:val="en-US"/>
        </w:rPr>
        <w:t xml:space="preserve">ve to </w:t>
      </w:r>
      <w:r w:rsidR="003A1B46">
        <w:rPr>
          <w:rFonts w:asciiTheme="minorHAnsi" w:hAnsiTheme="minorHAnsi"/>
          <w:lang w:val="en-US"/>
        </w:rPr>
        <w:t>set</w:t>
      </w:r>
      <w:r w:rsidR="00535FB9">
        <w:rPr>
          <w:rFonts w:asciiTheme="minorHAnsi" w:hAnsiTheme="minorHAnsi"/>
          <w:lang w:val="en-US"/>
        </w:rPr>
        <w:t xml:space="preserve"> the four </w:t>
      </w:r>
      <w:r w:rsidR="003E6613">
        <w:rPr>
          <w:rFonts w:asciiTheme="minorHAnsi" w:hAnsiTheme="minorHAnsi"/>
          <w:lang w:val="en-US"/>
        </w:rPr>
        <w:t>model</w:t>
      </w:r>
      <w:r w:rsidR="00535FB9">
        <w:rPr>
          <w:rFonts w:asciiTheme="minorHAnsi" w:hAnsiTheme="minorHAnsi"/>
          <w:lang w:val="en-US"/>
        </w:rPr>
        <w:t xml:space="preserve"> parameters </w:t>
      </w:r>
      <w:r w:rsidR="003E6613" w:rsidRPr="00617BEF">
        <w:rPr>
          <w:rFonts w:asciiTheme="minorHAnsi" w:hAnsiTheme="minorHAnsi"/>
          <w:i/>
          <w:lang w:val="en-US"/>
        </w:rPr>
        <w:t>P</w:t>
      </w:r>
      <w:r w:rsidR="003E6613" w:rsidRPr="003E6613">
        <w:rPr>
          <w:rFonts w:asciiTheme="minorHAnsi" w:hAnsiTheme="minorHAnsi"/>
          <w:lang w:val="en-US"/>
        </w:rPr>
        <w:t xml:space="preserve"> = {</w:t>
      </w:r>
      <w:r w:rsidR="003E6613" w:rsidRPr="00617BEF">
        <w:rPr>
          <w:rFonts w:asciiTheme="minorHAnsi" w:hAnsiTheme="minorHAnsi"/>
          <w:i/>
          <w:lang w:val="en-US"/>
        </w:rPr>
        <w:t>Q, T, D, s</w:t>
      </w:r>
      <w:r w:rsidR="003E6613" w:rsidRPr="003E6613">
        <w:rPr>
          <w:rFonts w:asciiTheme="minorHAnsi" w:hAnsiTheme="minorHAnsi"/>
          <w:lang w:val="en-US"/>
        </w:rPr>
        <w:t>}</w:t>
      </w:r>
      <w:r w:rsidR="003E6613">
        <w:rPr>
          <w:rFonts w:asciiTheme="minorHAnsi" w:hAnsiTheme="minorHAnsi"/>
          <w:lang w:val="en-US"/>
        </w:rPr>
        <w:t xml:space="preserve"> discussed</w:t>
      </w:r>
      <w:r w:rsidR="00535FB9">
        <w:rPr>
          <w:rFonts w:asciiTheme="minorHAnsi" w:hAnsiTheme="minorHAnsi"/>
          <w:lang w:val="en-US"/>
        </w:rPr>
        <w:t xml:space="preserve"> in 5.1. To </w:t>
      </w:r>
      <w:r w:rsidR="003A1B46">
        <w:rPr>
          <w:rFonts w:asciiTheme="minorHAnsi" w:hAnsiTheme="minorHAnsi"/>
          <w:lang w:val="en-US"/>
        </w:rPr>
        <w:t>analyze</w:t>
      </w:r>
      <w:r w:rsidR="00535FB9">
        <w:rPr>
          <w:rFonts w:asciiTheme="minorHAnsi" w:hAnsiTheme="minorHAnsi"/>
          <w:lang w:val="en-US"/>
        </w:rPr>
        <w:t xml:space="preserve"> their role, </w:t>
      </w:r>
      <w:r w:rsidR="003A1B46">
        <w:rPr>
          <w:rFonts w:asciiTheme="minorHAnsi" w:hAnsiTheme="minorHAnsi"/>
          <w:lang w:val="en-US"/>
        </w:rPr>
        <w:t xml:space="preserve">for each of these parameters, </w:t>
      </w:r>
      <w:r w:rsidR="00535FB9">
        <w:rPr>
          <w:rFonts w:asciiTheme="minorHAnsi" w:hAnsiTheme="minorHAnsi"/>
          <w:lang w:val="en-US"/>
        </w:rPr>
        <w:t xml:space="preserve">we test three different levels. </w:t>
      </w:r>
      <w:r w:rsidR="0012672E">
        <w:rPr>
          <w:rFonts w:asciiTheme="minorHAnsi" w:hAnsiTheme="minorHAnsi"/>
          <w:lang w:val="en-US"/>
        </w:rPr>
        <w:t xml:space="preserve">Compared to the </w:t>
      </w:r>
      <w:r w:rsidR="00EF08D9">
        <w:rPr>
          <w:rFonts w:asciiTheme="minorHAnsi" w:hAnsiTheme="minorHAnsi"/>
          <w:lang w:val="en-US"/>
        </w:rPr>
        <w:t>Data Set</w:t>
      </w:r>
      <w:r w:rsidR="0012672E">
        <w:rPr>
          <w:rFonts w:asciiTheme="minorHAnsi" w:hAnsiTheme="minorHAnsi"/>
          <w:lang w:val="en-US"/>
        </w:rPr>
        <w:t xml:space="preserve"> I</w:t>
      </w:r>
      <w:r w:rsidR="00EF08D9">
        <w:rPr>
          <w:rFonts w:asciiTheme="minorHAnsi" w:hAnsiTheme="minorHAnsi"/>
          <w:lang w:val="en-US"/>
        </w:rPr>
        <w:t xml:space="preserve">, the values for the different levels of parameters </w:t>
      </w:r>
      <w:r w:rsidR="00EF08D9" w:rsidRPr="00EF08D9">
        <w:rPr>
          <w:rFonts w:asciiTheme="minorHAnsi" w:hAnsiTheme="minorHAnsi"/>
          <w:i/>
          <w:lang w:val="en-US"/>
        </w:rPr>
        <w:t>Q</w:t>
      </w:r>
      <w:r w:rsidR="00EF08D9">
        <w:rPr>
          <w:rFonts w:asciiTheme="minorHAnsi" w:hAnsiTheme="minorHAnsi"/>
          <w:lang w:val="en-US"/>
        </w:rPr>
        <w:t xml:space="preserve"> and </w:t>
      </w:r>
      <w:r w:rsidR="00EF08D9" w:rsidRPr="00EF08D9">
        <w:rPr>
          <w:rFonts w:asciiTheme="minorHAnsi" w:hAnsiTheme="minorHAnsi"/>
          <w:i/>
          <w:lang w:val="en-US"/>
        </w:rPr>
        <w:t>T</w:t>
      </w:r>
      <w:r w:rsidR="00EF08D9">
        <w:rPr>
          <w:rFonts w:asciiTheme="minorHAnsi" w:hAnsiTheme="minorHAnsi"/>
          <w:lang w:val="en-US"/>
        </w:rPr>
        <w:t xml:space="preserve"> are not the same for all problem instances</w:t>
      </w:r>
      <w:r w:rsidR="0012672E">
        <w:rPr>
          <w:rFonts w:asciiTheme="minorHAnsi" w:hAnsiTheme="minorHAnsi"/>
          <w:lang w:val="en-US"/>
        </w:rPr>
        <w:t>,</w:t>
      </w:r>
      <w:r w:rsidR="00EF08D9">
        <w:rPr>
          <w:rFonts w:asciiTheme="minorHAnsi" w:hAnsiTheme="minorHAnsi"/>
          <w:lang w:val="en-US"/>
        </w:rPr>
        <w:t xml:space="preserve"> but </w:t>
      </w:r>
      <w:r w:rsidR="0012672E">
        <w:rPr>
          <w:rFonts w:asciiTheme="minorHAnsi" w:hAnsiTheme="minorHAnsi"/>
          <w:lang w:val="en-US"/>
        </w:rPr>
        <w:t xml:space="preserve">instead they are </w:t>
      </w:r>
      <w:r w:rsidR="00EF08D9">
        <w:rPr>
          <w:rFonts w:asciiTheme="minorHAnsi" w:hAnsiTheme="minorHAnsi"/>
          <w:lang w:val="en-US"/>
        </w:rPr>
        <w:t>selected based on the charac</w:t>
      </w:r>
      <w:r w:rsidR="0012672E">
        <w:rPr>
          <w:rFonts w:asciiTheme="minorHAnsi" w:hAnsiTheme="minorHAnsi"/>
          <w:lang w:val="en-US"/>
        </w:rPr>
        <w:t>teristics of each specific problem instance</w:t>
      </w:r>
      <w:r w:rsidR="00EF08D9" w:rsidRPr="00EF08D9">
        <w:rPr>
          <w:rFonts w:asciiTheme="minorHAnsi" w:hAnsiTheme="minorHAnsi"/>
          <w:lang w:val="en-US"/>
        </w:rPr>
        <w:t xml:space="preserve">. </w:t>
      </w:r>
      <w:r w:rsidR="00EF08D9">
        <w:rPr>
          <w:rFonts w:asciiTheme="minorHAnsi" w:hAnsiTheme="minorHAnsi"/>
          <w:lang w:val="en-US"/>
        </w:rPr>
        <w:t>An illustration</w:t>
      </w:r>
      <w:r w:rsidR="00EF08D9" w:rsidRPr="00EF08D9">
        <w:rPr>
          <w:rFonts w:asciiTheme="minorHAnsi" w:hAnsiTheme="minorHAnsi"/>
          <w:lang w:val="en-US"/>
        </w:rPr>
        <w:t xml:space="preserve"> of the depot location levels (</w:t>
      </w:r>
      <w:r w:rsidR="00EF08D9" w:rsidRPr="00EF08D9">
        <w:rPr>
          <w:rFonts w:asciiTheme="minorHAnsi" w:hAnsiTheme="minorHAnsi"/>
          <w:i/>
          <w:lang w:val="en-US"/>
        </w:rPr>
        <w:t xml:space="preserve">D1, D2 </w:t>
      </w:r>
      <w:r w:rsidR="00EF08D9" w:rsidRPr="00EF08D9">
        <w:rPr>
          <w:rFonts w:asciiTheme="minorHAnsi" w:hAnsiTheme="minorHAnsi"/>
          <w:lang w:val="en-US"/>
        </w:rPr>
        <w:t xml:space="preserve">and </w:t>
      </w:r>
      <w:r w:rsidR="00EF08D9" w:rsidRPr="00EF08D9">
        <w:rPr>
          <w:rFonts w:asciiTheme="minorHAnsi" w:hAnsiTheme="minorHAnsi"/>
          <w:i/>
          <w:lang w:val="en-US"/>
        </w:rPr>
        <w:t>D3</w:t>
      </w:r>
      <w:r w:rsidR="00EF08D9" w:rsidRPr="00EF08D9">
        <w:rPr>
          <w:rFonts w:asciiTheme="minorHAnsi" w:hAnsiTheme="minorHAnsi"/>
          <w:lang w:val="en-US"/>
        </w:rPr>
        <w:t>) for a problem instance with |</w:t>
      </w:r>
      <w:r w:rsidR="00EF08D9" w:rsidRPr="00EF08D9">
        <w:rPr>
          <w:rFonts w:asciiTheme="minorHAnsi" w:hAnsiTheme="minorHAnsi"/>
          <w:i/>
          <w:lang w:val="en-US"/>
        </w:rPr>
        <w:t>P’</w:t>
      </w:r>
      <w:r w:rsidR="00EF08D9" w:rsidRPr="00EF08D9">
        <w:rPr>
          <w:rFonts w:asciiTheme="minorHAnsi" w:hAnsiTheme="minorHAnsi"/>
          <w:lang w:val="en-US"/>
        </w:rPr>
        <w:t xml:space="preserve">| = 7 of the </w:t>
      </w:r>
      <w:r w:rsidR="00EF08D9" w:rsidRPr="00EF08D9">
        <w:rPr>
          <w:rFonts w:asciiTheme="minorHAnsi" w:hAnsiTheme="minorHAnsi"/>
          <w:i/>
          <w:lang w:val="en-US"/>
        </w:rPr>
        <w:t>R</w:t>
      </w:r>
      <w:r w:rsidR="00EF08D9" w:rsidRPr="00EF08D9">
        <w:rPr>
          <w:rFonts w:asciiTheme="minorHAnsi" w:hAnsiTheme="minorHAnsi"/>
          <w:lang w:val="en-US"/>
        </w:rPr>
        <w:t xml:space="preserve"> and </w:t>
      </w:r>
      <w:r w:rsidR="00EF08D9" w:rsidRPr="00EF08D9">
        <w:rPr>
          <w:rFonts w:asciiTheme="minorHAnsi" w:hAnsiTheme="minorHAnsi"/>
          <w:i/>
          <w:lang w:val="en-US"/>
        </w:rPr>
        <w:t>DM3</w:t>
      </w:r>
      <w:r w:rsidR="00EF08D9" w:rsidRPr="00EF08D9">
        <w:rPr>
          <w:rFonts w:asciiTheme="minorHAnsi" w:hAnsiTheme="minorHAnsi"/>
          <w:lang w:val="en-US"/>
        </w:rPr>
        <w:t xml:space="preserve"> clas</w:t>
      </w:r>
      <w:r w:rsidR="00EF08D9">
        <w:rPr>
          <w:rFonts w:asciiTheme="minorHAnsi" w:hAnsiTheme="minorHAnsi"/>
          <w:lang w:val="en-US"/>
        </w:rPr>
        <w:t xml:space="preserve">s, is shown in Figure 8. </w:t>
      </w:r>
      <w:r w:rsidR="0012672E">
        <w:rPr>
          <w:rFonts w:asciiTheme="minorHAnsi" w:hAnsiTheme="minorHAnsi"/>
          <w:lang w:val="en-US"/>
        </w:rPr>
        <w:t xml:space="preserve">A </w:t>
      </w:r>
      <w:r w:rsidR="003E6613">
        <w:rPr>
          <w:rFonts w:asciiTheme="minorHAnsi" w:hAnsiTheme="minorHAnsi"/>
          <w:lang w:val="en-US"/>
        </w:rPr>
        <w:t>total</w:t>
      </w:r>
      <w:r w:rsidR="00535FB9">
        <w:rPr>
          <w:rFonts w:asciiTheme="minorHAnsi" w:hAnsiTheme="minorHAnsi"/>
          <w:lang w:val="en-US"/>
        </w:rPr>
        <w:t xml:space="preserve"> </w:t>
      </w:r>
      <w:r w:rsidR="0012672E">
        <w:rPr>
          <w:rFonts w:asciiTheme="minorHAnsi" w:hAnsiTheme="minorHAnsi"/>
          <w:lang w:val="en-US"/>
        </w:rPr>
        <w:t xml:space="preserve">of </w:t>
      </w:r>
      <w:r w:rsidR="003E6613" w:rsidRPr="003E6613">
        <w:rPr>
          <w:rFonts w:asciiTheme="minorHAnsi" w:hAnsiTheme="minorHAnsi"/>
          <w:lang w:val="en-US"/>
        </w:rPr>
        <w:t>4374</w:t>
      </w:r>
      <w:r w:rsidR="003E6613">
        <w:rPr>
          <w:rFonts w:asciiTheme="minorHAnsi" w:hAnsiTheme="minorHAnsi"/>
          <w:lang w:val="en-US"/>
        </w:rPr>
        <w:t xml:space="preserve"> VRPCD instances (</w:t>
      </w:r>
      <w:r w:rsidR="003E6613" w:rsidRPr="003E6613">
        <w:rPr>
          <w:rFonts w:asciiTheme="minorHAnsi" w:hAnsiTheme="minorHAnsi"/>
          <w:lang w:val="en-US"/>
        </w:rPr>
        <w:t>54 request sets</w:t>
      </w:r>
      <w:r w:rsidR="003E6613">
        <w:rPr>
          <w:rFonts w:asciiTheme="minorHAnsi" w:hAnsiTheme="minorHAnsi"/>
          <w:lang w:val="en-US"/>
        </w:rPr>
        <w:t xml:space="preserve"> x 3</w:t>
      </w:r>
      <w:r w:rsidR="003E6613">
        <w:rPr>
          <w:rFonts w:asciiTheme="minorHAnsi" w:hAnsiTheme="minorHAnsi"/>
          <w:vertAlign w:val="superscript"/>
          <w:lang w:val="en-US"/>
        </w:rPr>
        <w:t>4</w:t>
      </w:r>
      <w:r w:rsidR="0012672E">
        <w:rPr>
          <w:rFonts w:asciiTheme="minorHAnsi" w:hAnsiTheme="minorHAnsi"/>
          <w:lang w:val="en-US"/>
        </w:rPr>
        <w:t xml:space="preserve"> parameter combinations) and a total of 1</w:t>
      </w:r>
      <w:r w:rsidR="003E6613">
        <w:rPr>
          <w:rFonts w:asciiTheme="minorHAnsi" w:hAnsiTheme="minorHAnsi"/>
          <w:lang w:val="en-US"/>
        </w:rPr>
        <w:t xml:space="preserve">458 </w:t>
      </w:r>
      <w:r w:rsidR="0012672E">
        <w:rPr>
          <w:rFonts w:asciiTheme="minorHAnsi" w:hAnsiTheme="minorHAnsi"/>
          <w:lang w:val="en-US"/>
        </w:rPr>
        <w:t xml:space="preserve">PDP instances are defined in </w:t>
      </w:r>
      <w:r w:rsidR="003E6613">
        <w:rPr>
          <w:rFonts w:asciiTheme="minorHAnsi" w:hAnsiTheme="minorHAnsi"/>
          <w:lang w:val="en-US"/>
        </w:rPr>
        <w:t xml:space="preserve">Data Set II. </w:t>
      </w:r>
      <w:r w:rsidR="003E6613" w:rsidRPr="004D49B0">
        <w:rPr>
          <w:rFonts w:asciiTheme="minorHAnsi" w:hAnsiTheme="minorHAnsi"/>
          <w:lang w:val="en-US"/>
        </w:rPr>
        <w:t xml:space="preserve">As </w:t>
      </w:r>
      <w:r w:rsidR="0012672E">
        <w:rPr>
          <w:rFonts w:asciiTheme="minorHAnsi" w:hAnsiTheme="minorHAnsi"/>
          <w:lang w:val="en-US"/>
        </w:rPr>
        <w:t>discussed earlier</w:t>
      </w:r>
      <w:r w:rsidR="003E6613" w:rsidRPr="004D49B0">
        <w:rPr>
          <w:rFonts w:asciiTheme="minorHAnsi" w:hAnsiTheme="minorHAnsi"/>
          <w:lang w:val="en-US"/>
        </w:rPr>
        <w:t xml:space="preserve">, the </w:t>
      </w:r>
      <w:r w:rsidR="003E6613">
        <w:rPr>
          <w:rFonts w:asciiTheme="minorHAnsi" w:hAnsiTheme="minorHAnsi"/>
          <w:lang w:val="en-US"/>
        </w:rPr>
        <w:t>distance</w:t>
      </w:r>
      <w:r w:rsidR="003E6613" w:rsidRPr="004D49B0">
        <w:rPr>
          <w:rFonts w:asciiTheme="minorHAnsi" w:hAnsiTheme="minorHAnsi"/>
          <w:lang w:val="en-US"/>
        </w:rPr>
        <w:t xml:space="preserve"> matrix is </w:t>
      </w:r>
      <w:r w:rsidR="003E6613">
        <w:rPr>
          <w:rFonts w:asciiTheme="minorHAnsi" w:hAnsiTheme="minorHAnsi"/>
          <w:lang w:val="en-US"/>
        </w:rPr>
        <w:t>obtained</w:t>
      </w:r>
      <w:r w:rsidR="003E6613" w:rsidRPr="004D49B0">
        <w:rPr>
          <w:rFonts w:asciiTheme="minorHAnsi" w:hAnsiTheme="minorHAnsi"/>
          <w:lang w:val="en-US"/>
        </w:rPr>
        <w:t xml:space="preserve"> </w:t>
      </w:r>
      <w:r w:rsidR="003E6613">
        <w:rPr>
          <w:rFonts w:asciiTheme="minorHAnsi" w:hAnsiTheme="minorHAnsi"/>
          <w:lang w:val="en-US"/>
        </w:rPr>
        <w:t>as</w:t>
      </w:r>
      <w:r w:rsidR="003E6613" w:rsidRPr="004D49B0">
        <w:rPr>
          <w:rFonts w:asciiTheme="minorHAnsi" w:hAnsiTheme="minorHAnsi"/>
          <w:lang w:val="en-US"/>
        </w:rPr>
        <w:t xml:space="preserve"> the Euclidean distance between </w:t>
      </w:r>
      <w:r w:rsidR="003E6613">
        <w:rPr>
          <w:rFonts w:asciiTheme="minorHAnsi" w:hAnsiTheme="minorHAnsi"/>
          <w:lang w:val="en-US"/>
        </w:rPr>
        <w:t>node pairs. Finally,</w:t>
      </w:r>
      <w:r w:rsidR="003E6613" w:rsidRPr="004D49B0">
        <w:rPr>
          <w:rFonts w:asciiTheme="minorHAnsi" w:hAnsiTheme="minorHAnsi"/>
          <w:lang w:val="en-US"/>
        </w:rPr>
        <w:t xml:space="preserve"> each node is associated </w:t>
      </w:r>
      <w:r w:rsidR="003E6613">
        <w:rPr>
          <w:rFonts w:asciiTheme="minorHAnsi" w:hAnsiTheme="minorHAnsi"/>
          <w:lang w:val="en-US"/>
        </w:rPr>
        <w:t>with</w:t>
      </w:r>
      <w:r w:rsidR="003E6613" w:rsidRPr="004D49B0">
        <w:rPr>
          <w:rFonts w:asciiTheme="minorHAnsi" w:hAnsiTheme="minorHAnsi"/>
          <w:lang w:val="en-US"/>
        </w:rPr>
        <w:t xml:space="preserve"> a fixed service time</w:t>
      </w:r>
      <w:r w:rsidR="003E6613">
        <w:rPr>
          <w:rFonts w:asciiTheme="minorHAnsi" w:hAnsiTheme="minorHAnsi"/>
          <w:lang w:val="en-US"/>
        </w:rPr>
        <w:t xml:space="preserve"> of </w:t>
      </w:r>
      <w:r w:rsidR="00F2674B">
        <w:rPr>
          <w:rFonts w:asciiTheme="minorHAnsi" w:hAnsiTheme="minorHAnsi"/>
          <w:lang w:val="en-US"/>
        </w:rPr>
        <w:t>two</w:t>
      </w:r>
      <w:r w:rsidR="003E6613">
        <w:rPr>
          <w:rFonts w:asciiTheme="minorHAnsi" w:hAnsiTheme="minorHAnsi"/>
          <w:lang w:val="en-US"/>
        </w:rPr>
        <w:t xml:space="preserve"> time units</w:t>
      </w:r>
      <w:r w:rsidR="003E6613" w:rsidRPr="004D49B0">
        <w:rPr>
          <w:rFonts w:asciiTheme="minorHAnsi" w:hAnsiTheme="minorHAnsi"/>
          <w:lang w:val="en-US"/>
        </w:rPr>
        <w:t>.</w:t>
      </w:r>
      <w:bookmarkEnd w:id="516"/>
      <w:bookmarkEnd w:id="5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2975"/>
        <w:gridCol w:w="3235"/>
      </w:tblGrid>
      <w:tr w:rsidR="005A1630" w:rsidTr="00DA4B35">
        <w:trPr>
          <w:trHeight w:val="2780"/>
        </w:trPr>
        <w:tc>
          <w:tcPr>
            <w:tcW w:w="3150" w:type="dxa"/>
          </w:tcPr>
          <w:p w:rsidR="00015F07" w:rsidRDefault="00015F07" w:rsidP="007F4645">
            <w:pPr>
              <w:rPr>
                <w:b/>
              </w:rPr>
            </w:pPr>
          </w:p>
          <w:p w:rsidR="005A1630" w:rsidRDefault="005948CF" w:rsidP="007A17AE">
            <w:pPr>
              <w:jc w:val="center"/>
              <w:rPr>
                <w:b/>
              </w:rPr>
            </w:pPr>
            <w:r w:rsidRPr="005948CF">
              <w:rPr>
                <w:b/>
                <w:noProof/>
              </w:rPr>
              <w:drawing>
                <wp:inline distT="0" distB="0" distL="0" distR="0">
                  <wp:extent cx="1590294" cy="1528877"/>
                  <wp:effectExtent l="1905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590294" cy="1528877"/>
                          </a:xfrm>
                          <a:prstGeom prst="rect">
                            <a:avLst/>
                          </a:prstGeom>
                          <a:noFill/>
                          <a:ln w="9525">
                            <a:noFill/>
                            <a:miter lim="800000"/>
                            <a:headEnd/>
                            <a:tailEnd/>
                          </a:ln>
                        </pic:spPr>
                      </pic:pic>
                    </a:graphicData>
                  </a:graphic>
                </wp:inline>
              </w:drawing>
            </w:r>
          </w:p>
        </w:tc>
        <w:tc>
          <w:tcPr>
            <w:tcW w:w="2975" w:type="dxa"/>
          </w:tcPr>
          <w:p w:rsidR="00015F07" w:rsidRDefault="00015F07" w:rsidP="00A1768F">
            <w:pPr>
              <w:rPr>
                <w:b/>
              </w:rPr>
            </w:pPr>
          </w:p>
          <w:p w:rsidR="005A1630" w:rsidRDefault="005948CF" w:rsidP="007A17AE">
            <w:pPr>
              <w:jc w:val="center"/>
              <w:rPr>
                <w:b/>
              </w:rPr>
            </w:pPr>
            <w:r w:rsidRPr="005948CF">
              <w:rPr>
                <w:b/>
                <w:noProof/>
              </w:rPr>
              <w:drawing>
                <wp:inline distT="0" distB="0" distL="0" distR="0">
                  <wp:extent cx="1691437" cy="1528877"/>
                  <wp:effectExtent l="19050" t="0" r="4013"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694117" cy="1531299"/>
                          </a:xfrm>
                          <a:prstGeom prst="rect">
                            <a:avLst/>
                          </a:prstGeom>
                          <a:noFill/>
                          <a:ln w="9525">
                            <a:noFill/>
                            <a:prstDash val="sysDash"/>
                            <a:miter lim="800000"/>
                            <a:headEnd/>
                            <a:tailEnd/>
                          </a:ln>
                        </pic:spPr>
                      </pic:pic>
                    </a:graphicData>
                  </a:graphic>
                </wp:inline>
              </w:drawing>
            </w:r>
          </w:p>
        </w:tc>
        <w:tc>
          <w:tcPr>
            <w:tcW w:w="3235" w:type="dxa"/>
          </w:tcPr>
          <w:p w:rsidR="00015F07" w:rsidRDefault="00015F07" w:rsidP="005948CF">
            <w:pPr>
              <w:jc w:val="center"/>
              <w:rPr>
                <w:b/>
              </w:rPr>
            </w:pPr>
          </w:p>
          <w:p w:rsidR="005A1630" w:rsidRDefault="005948CF" w:rsidP="005948CF">
            <w:pPr>
              <w:jc w:val="center"/>
              <w:rPr>
                <w:b/>
              </w:rPr>
            </w:pPr>
            <w:r w:rsidRPr="005948CF">
              <w:rPr>
                <w:b/>
                <w:noProof/>
              </w:rPr>
              <w:drawing>
                <wp:inline distT="0" distB="0" distL="0" distR="0">
                  <wp:extent cx="1809750" cy="1699146"/>
                  <wp:effectExtent l="19050" t="0" r="0" b="0"/>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1824669" cy="1713153"/>
                          </a:xfrm>
                          <a:prstGeom prst="rect">
                            <a:avLst/>
                          </a:prstGeom>
                          <a:noFill/>
                          <a:ln w="9525">
                            <a:noFill/>
                            <a:miter lim="800000"/>
                            <a:headEnd/>
                            <a:tailEnd/>
                          </a:ln>
                        </pic:spPr>
                      </pic:pic>
                    </a:graphicData>
                  </a:graphic>
                </wp:inline>
              </w:drawing>
            </w:r>
          </w:p>
        </w:tc>
      </w:tr>
      <w:tr w:rsidR="007A17AE" w:rsidTr="00DA4B35">
        <w:trPr>
          <w:trHeight w:val="350"/>
        </w:trPr>
        <w:tc>
          <w:tcPr>
            <w:tcW w:w="3150" w:type="dxa"/>
          </w:tcPr>
          <w:p w:rsidR="007A17AE" w:rsidRPr="00DA4B35" w:rsidRDefault="007A17AE" w:rsidP="007A17AE">
            <w:pPr>
              <w:jc w:val="center"/>
              <w:rPr>
                <w:sz w:val="20"/>
              </w:rPr>
            </w:pPr>
            <w:r w:rsidRPr="00DA4B35">
              <w:rPr>
                <w:sz w:val="20"/>
              </w:rPr>
              <w:t>D1</w:t>
            </w:r>
          </w:p>
        </w:tc>
        <w:tc>
          <w:tcPr>
            <w:tcW w:w="2975" w:type="dxa"/>
          </w:tcPr>
          <w:p w:rsidR="007A17AE" w:rsidRPr="00DA4B35" w:rsidRDefault="007A17AE" w:rsidP="007A17AE">
            <w:pPr>
              <w:jc w:val="center"/>
              <w:rPr>
                <w:sz w:val="20"/>
              </w:rPr>
            </w:pPr>
            <w:r w:rsidRPr="00DA4B35">
              <w:rPr>
                <w:sz w:val="20"/>
              </w:rPr>
              <w:t>D2</w:t>
            </w:r>
          </w:p>
        </w:tc>
        <w:tc>
          <w:tcPr>
            <w:tcW w:w="3235" w:type="dxa"/>
          </w:tcPr>
          <w:p w:rsidR="007A17AE" w:rsidRPr="00DA4B35" w:rsidRDefault="007A17AE" w:rsidP="007A17AE">
            <w:pPr>
              <w:jc w:val="center"/>
              <w:rPr>
                <w:sz w:val="20"/>
              </w:rPr>
            </w:pPr>
            <w:r w:rsidRPr="00DA4B35">
              <w:rPr>
                <w:sz w:val="20"/>
              </w:rPr>
              <w:t>D3</w:t>
            </w:r>
          </w:p>
        </w:tc>
      </w:tr>
      <w:tr w:rsidR="007A17AE" w:rsidTr="00DA4B35">
        <w:tc>
          <w:tcPr>
            <w:tcW w:w="9360" w:type="dxa"/>
            <w:gridSpan w:val="3"/>
          </w:tcPr>
          <w:p w:rsidR="007A17AE" w:rsidRDefault="007A17AE" w:rsidP="00BF1F6F">
            <w:pPr>
              <w:jc w:val="both"/>
              <w:rPr>
                <w:b/>
              </w:rPr>
            </w:pPr>
            <w:r w:rsidRPr="00BD3852">
              <w:rPr>
                <w:b/>
                <w:sz w:val="20"/>
              </w:rPr>
              <w:t xml:space="preserve">Figure </w:t>
            </w:r>
            <w:r w:rsidR="004904E8" w:rsidRPr="00BD3852">
              <w:rPr>
                <w:b/>
                <w:sz w:val="20"/>
              </w:rPr>
              <w:t>8</w:t>
            </w:r>
            <w:r w:rsidR="00BF1F6F">
              <w:rPr>
                <w:b/>
                <w:sz w:val="20"/>
              </w:rPr>
              <w:t>.</w:t>
            </w:r>
            <w:r w:rsidRPr="00BD3852">
              <w:rPr>
                <w:b/>
                <w:sz w:val="20"/>
              </w:rPr>
              <w:t xml:space="preserve"> </w:t>
            </w:r>
            <w:r w:rsidRPr="00BD3852">
              <w:rPr>
                <w:sz w:val="20"/>
              </w:rPr>
              <w:t>Illustration of the depot location levels (</w:t>
            </w:r>
            <w:r w:rsidRPr="00BD3852">
              <w:rPr>
                <w:i/>
                <w:sz w:val="20"/>
              </w:rPr>
              <w:t xml:space="preserve">D1, D2 </w:t>
            </w:r>
            <w:r w:rsidRPr="00BD3852">
              <w:rPr>
                <w:sz w:val="20"/>
              </w:rPr>
              <w:t xml:space="preserve">and </w:t>
            </w:r>
            <w:r w:rsidRPr="00BD3852">
              <w:rPr>
                <w:i/>
                <w:sz w:val="20"/>
              </w:rPr>
              <w:t>D3</w:t>
            </w:r>
            <w:r w:rsidRPr="00BD3852">
              <w:rPr>
                <w:sz w:val="20"/>
              </w:rPr>
              <w:t xml:space="preserve">) for a problem instance </w:t>
            </w:r>
            <w:r w:rsidR="009B3E8B" w:rsidRPr="00BD3852">
              <w:rPr>
                <w:sz w:val="20"/>
              </w:rPr>
              <w:t xml:space="preserve">for a problem instance with |P’| = 7 of the </w:t>
            </w:r>
            <w:r w:rsidR="009B3E8B" w:rsidRPr="00BD3852">
              <w:rPr>
                <w:i/>
                <w:sz w:val="20"/>
              </w:rPr>
              <w:t>R</w:t>
            </w:r>
            <w:r w:rsidR="009B3E8B" w:rsidRPr="00BD3852">
              <w:rPr>
                <w:sz w:val="20"/>
              </w:rPr>
              <w:t xml:space="preserve"> and </w:t>
            </w:r>
            <w:r w:rsidR="009B3E8B" w:rsidRPr="00BD3852">
              <w:rPr>
                <w:i/>
                <w:sz w:val="20"/>
              </w:rPr>
              <w:t>DM3</w:t>
            </w:r>
            <w:r w:rsidR="009B3E8B" w:rsidRPr="00BD3852">
              <w:rPr>
                <w:sz w:val="20"/>
              </w:rPr>
              <w:t xml:space="preserve"> classes</w:t>
            </w:r>
            <w:r w:rsidRPr="00BD3852">
              <w:rPr>
                <w:sz w:val="20"/>
              </w:rPr>
              <w:t xml:space="preserve">. The depot </w:t>
            </w:r>
            <w:r w:rsidR="009B3E8B" w:rsidRPr="00BD3852">
              <w:rPr>
                <w:sz w:val="20"/>
              </w:rPr>
              <w:t xml:space="preserve">is illustrated as a </w:t>
            </w:r>
            <w:r w:rsidR="00ED5E4A" w:rsidRPr="00BD3852">
              <w:rPr>
                <w:sz w:val="20"/>
              </w:rPr>
              <w:t>square</w:t>
            </w:r>
            <w:r w:rsidRPr="00BD3852">
              <w:rPr>
                <w:sz w:val="20"/>
              </w:rPr>
              <w:t>.</w:t>
            </w:r>
          </w:p>
        </w:tc>
      </w:tr>
    </w:tbl>
    <w:p w:rsidR="004661E3" w:rsidRDefault="004661E3" w:rsidP="00C01B93">
      <w:pPr>
        <w:spacing w:after="0"/>
        <w:jc w:val="both"/>
      </w:pPr>
    </w:p>
    <w:p w:rsidR="00F00EA5" w:rsidRDefault="00E418A3" w:rsidP="00F00EA5">
      <w:pPr>
        <w:pStyle w:val="RoadefTexte"/>
        <w:tabs>
          <w:tab w:val="left" w:pos="7186"/>
        </w:tabs>
        <w:spacing w:after="0" w:line="276" w:lineRule="auto"/>
        <w:ind w:firstLine="0"/>
        <w:outlineLvl w:val="0"/>
        <w:rPr>
          <w:rFonts w:asciiTheme="minorHAnsi" w:hAnsiTheme="minorHAnsi"/>
          <w:b/>
          <w:lang w:val="en-US"/>
        </w:rPr>
      </w:pPr>
      <w:r w:rsidRPr="007E5855">
        <w:rPr>
          <w:rFonts w:asciiTheme="minorHAnsi" w:hAnsiTheme="minorHAnsi"/>
          <w:b/>
          <w:lang w:val="en-US"/>
        </w:rPr>
        <w:t>Computational results for Data Set II</w:t>
      </w:r>
      <w:bookmarkStart w:id="539" w:name="OLE_LINK350"/>
    </w:p>
    <w:p w:rsidR="00DA4B35" w:rsidRDefault="006D2FDB" w:rsidP="00F00EA5">
      <w:pPr>
        <w:pStyle w:val="RoadefTexte"/>
        <w:tabs>
          <w:tab w:val="left" w:pos="7186"/>
        </w:tabs>
        <w:spacing w:after="0" w:line="276" w:lineRule="auto"/>
        <w:ind w:firstLine="0"/>
        <w:outlineLvl w:val="0"/>
        <w:rPr>
          <w:rFonts w:asciiTheme="minorHAnsi" w:eastAsiaTheme="minorHAnsi" w:hAnsiTheme="minorHAnsi" w:cstheme="minorBidi"/>
          <w:lang w:val="en-US"/>
        </w:rPr>
      </w:pPr>
      <w:r>
        <w:rPr>
          <w:rFonts w:asciiTheme="minorHAnsi" w:eastAsiaTheme="minorHAnsi" w:hAnsiTheme="minorHAnsi" w:cstheme="minorBidi"/>
          <w:lang w:val="en-US"/>
        </w:rPr>
        <w:t>Table 6 reports t</w:t>
      </w:r>
      <w:r w:rsidR="00986AF5" w:rsidRPr="00C35DA2">
        <w:rPr>
          <w:rFonts w:asciiTheme="minorHAnsi" w:eastAsiaTheme="minorHAnsi" w:hAnsiTheme="minorHAnsi" w:cstheme="minorBidi"/>
          <w:lang w:val="en-US"/>
        </w:rPr>
        <w:t xml:space="preserve">he </w:t>
      </w:r>
      <w:r w:rsidR="00986AF5">
        <w:rPr>
          <w:rFonts w:asciiTheme="minorHAnsi" w:eastAsiaTheme="minorHAnsi" w:hAnsiTheme="minorHAnsi" w:cstheme="minorBidi"/>
          <w:lang w:val="en-US"/>
        </w:rPr>
        <w:t xml:space="preserve">computational </w:t>
      </w:r>
      <w:r w:rsidR="00986AF5" w:rsidRPr="00C35DA2">
        <w:rPr>
          <w:rFonts w:asciiTheme="minorHAnsi" w:eastAsiaTheme="minorHAnsi" w:hAnsiTheme="minorHAnsi" w:cstheme="minorBidi"/>
          <w:lang w:val="en-US"/>
        </w:rPr>
        <w:t>results</w:t>
      </w:r>
      <w:r w:rsidR="00986AF5">
        <w:rPr>
          <w:rFonts w:asciiTheme="minorHAnsi" w:eastAsiaTheme="minorHAnsi" w:hAnsiTheme="minorHAnsi" w:cstheme="minorBidi"/>
          <w:lang w:val="en-US"/>
        </w:rPr>
        <w:t xml:space="preserve"> </w:t>
      </w:r>
      <w:r w:rsidR="00BC5650">
        <w:rPr>
          <w:rFonts w:asciiTheme="minorHAnsi" w:eastAsiaTheme="minorHAnsi" w:hAnsiTheme="minorHAnsi" w:cstheme="minorBidi"/>
          <w:lang w:val="en-US"/>
        </w:rPr>
        <w:t xml:space="preserve">obtained for </w:t>
      </w:r>
      <w:r>
        <w:rPr>
          <w:rFonts w:asciiTheme="minorHAnsi" w:eastAsiaTheme="minorHAnsi" w:hAnsiTheme="minorHAnsi" w:cstheme="minorBidi"/>
          <w:lang w:val="en-US"/>
        </w:rPr>
        <w:t xml:space="preserve">all </w:t>
      </w:r>
      <w:r w:rsidR="00AD0C8B">
        <w:rPr>
          <w:rFonts w:asciiTheme="minorHAnsi" w:eastAsiaTheme="minorHAnsi" w:hAnsiTheme="minorHAnsi" w:cstheme="minorBidi"/>
          <w:lang w:val="en-US"/>
        </w:rPr>
        <w:t xml:space="preserve">Data </w:t>
      </w:r>
      <w:r>
        <w:rPr>
          <w:rFonts w:asciiTheme="minorHAnsi" w:eastAsiaTheme="minorHAnsi" w:hAnsiTheme="minorHAnsi" w:cstheme="minorBidi"/>
          <w:lang w:val="en-US"/>
        </w:rPr>
        <w:t xml:space="preserve">Set </w:t>
      </w:r>
      <w:r w:rsidR="00AD0C8B">
        <w:rPr>
          <w:rFonts w:asciiTheme="minorHAnsi" w:eastAsiaTheme="minorHAnsi" w:hAnsiTheme="minorHAnsi" w:cstheme="minorBidi"/>
          <w:lang w:val="en-US"/>
        </w:rPr>
        <w:t xml:space="preserve">II </w:t>
      </w:r>
      <w:r>
        <w:rPr>
          <w:rFonts w:asciiTheme="minorHAnsi" w:eastAsiaTheme="minorHAnsi" w:hAnsiTheme="minorHAnsi" w:cstheme="minorBidi"/>
          <w:lang w:val="en-US"/>
        </w:rPr>
        <w:t>problem instances</w:t>
      </w:r>
      <w:r w:rsidR="00085F06">
        <w:rPr>
          <w:rFonts w:asciiTheme="minorHAnsi" w:eastAsiaTheme="minorHAnsi" w:hAnsiTheme="minorHAnsi" w:cstheme="minorBidi"/>
          <w:lang w:val="en-US"/>
        </w:rPr>
        <w:t xml:space="preserve">. </w:t>
      </w:r>
      <w:r>
        <w:rPr>
          <w:rFonts w:asciiTheme="minorHAnsi" w:eastAsiaTheme="minorHAnsi" w:hAnsiTheme="minorHAnsi" w:cstheme="minorBidi"/>
          <w:lang w:val="en-US"/>
        </w:rPr>
        <w:t>In particular, it</w:t>
      </w:r>
      <w:r w:rsidR="00AD0C8B">
        <w:rPr>
          <w:rFonts w:asciiTheme="minorHAnsi" w:eastAsiaTheme="minorHAnsi" w:hAnsiTheme="minorHAnsi" w:cstheme="minorBidi"/>
          <w:lang w:val="en-US"/>
        </w:rPr>
        <w:t xml:space="preserve"> provide</w:t>
      </w:r>
      <w:r w:rsidR="00282297">
        <w:rPr>
          <w:rFonts w:asciiTheme="minorHAnsi" w:eastAsiaTheme="minorHAnsi" w:hAnsiTheme="minorHAnsi" w:cstheme="minorBidi"/>
          <w:lang w:val="en-US"/>
        </w:rPr>
        <w:t>s</w:t>
      </w:r>
      <w:r w:rsidR="00AD0C8B">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the </w:t>
      </w:r>
      <w:r w:rsidR="00AD0C8B">
        <w:rPr>
          <w:rFonts w:asciiTheme="minorHAnsi" w:eastAsiaTheme="minorHAnsi" w:hAnsiTheme="minorHAnsi" w:cstheme="minorBidi"/>
          <w:lang w:val="en-US"/>
        </w:rPr>
        <w:t xml:space="preserve">average results over instances belonging to the </w:t>
      </w:r>
      <w:r w:rsidR="002D213C">
        <w:rPr>
          <w:rFonts w:asciiTheme="minorHAnsi" w:eastAsiaTheme="minorHAnsi" w:hAnsiTheme="minorHAnsi" w:cstheme="minorBidi"/>
          <w:lang w:val="en-US"/>
        </w:rPr>
        <w:t>node distribution class</w:t>
      </w:r>
      <w:r>
        <w:rPr>
          <w:rFonts w:asciiTheme="minorHAnsi" w:eastAsiaTheme="minorHAnsi" w:hAnsiTheme="minorHAnsi" w:cstheme="minorBidi"/>
          <w:lang w:val="en-US"/>
        </w:rPr>
        <w:t>es</w:t>
      </w:r>
      <w:r w:rsidR="002D213C">
        <w:rPr>
          <w:rFonts w:asciiTheme="minorHAnsi" w:eastAsiaTheme="minorHAnsi" w:hAnsiTheme="minorHAnsi" w:cstheme="minorBidi"/>
          <w:lang w:val="en-US"/>
        </w:rPr>
        <w:t xml:space="preserve"> (</w:t>
      </w:r>
      <w:r w:rsidR="002D213C" w:rsidRPr="00085F06">
        <w:rPr>
          <w:rFonts w:asciiTheme="minorHAnsi" w:eastAsiaTheme="minorHAnsi" w:hAnsiTheme="minorHAnsi" w:cstheme="minorBidi"/>
          <w:i/>
          <w:lang w:val="en-US"/>
        </w:rPr>
        <w:t>R</w:t>
      </w:r>
      <w:r w:rsidR="002D213C">
        <w:rPr>
          <w:rFonts w:asciiTheme="minorHAnsi" w:eastAsiaTheme="minorHAnsi" w:hAnsiTheme="minorHAnsi" w:cstheme="minorBidi"/>
          <w:lang w:val="en-US"/>
        </w:rPr>
        <w:t xml:space="preserve"> and </w:t>
      </w:r>
      <w:r w:rsidR="002D213C" w:rsidRPr="00085F06">
        <w:rPr>
          <w:rFonts w:asciiTheme="minorHAnsi" w:eastAsiaTheme="minorHAnsi" w:hAnsiTheme="minorHAnsi" w:cstheme="minorBidi"/>
          <w:i/>
          <w:lang w:val="en-US"/>
        </w:rPr>
        <w:t>C)</w:t>
      </w:r>
      <w:r w:rsidR="002D213C" w:rsidRPr="002D213C">
        <w:rPr>
          <w:rFonts w:asciiTheme="minorHAnsi" w:eastAsiaTheme="minorHAnsi" w:hAnsiTheme="minorHAnsi" w:cstheme="minorBidi"/>
          <w:lang w:val="en-US"/>
        </w:rPr>
        <w:t xml:space="preserve"> </w:t>
      </w:r>
      <w:r>
        <w:rPr>
          <w:rFonts w:asciiTheme="minorHAnsi" w:eastAsiaTheme="minorHAnsi" w:hAnsiTheme="minorHAnsi" w:cstheme="minorBidi"/>
          <w:lang w:val="en-US"/>
        </w:rPr>
        <w:t>and</w:t>
      </w:r>
      <w:r w:rsidR="002D213C">
        <w:rPr>
          <w:rFonts w:asciiTheme="minorHAnsi" w:eastAsiaTheme="minorHAnsi" w:hAnsiTheme="minorHAnsi" w:cstheme="minorBidi"/>
          <w:lang w:val="en-US"/>
        </w:rPr>
        <w:t xml:space="preserve"> </w:t>
      </w:r>
      <w:r w:rsidR="00AD0C8B">
        <w:rPr>
          <w:rFonts w:asciiTheme="minorHAnsi" w:eastAsiaTheme="minorHAnsi" w:hAnsiTheme="minorHAnsi" w:cstheme="minorBidi"/>
          <w:lang w:val="en-US"/>
        </w:rPr>
        <w:t>demand density</w:t>
      </w:r>
      <w:r w:rsidR="0074002E">
        <w:rPr>
          <w:rFonts w:asciiTheme="minorHAnsi" w:eastAsiaTheme="minorHAnsi" w:hAnsiTheme="minorHAnsi" w:cstheme="minorBidi"/>
          <w:lang w:val="en-US"/>
        </w:rPr>
        <w:t xml:space="preserve"> </w:t>
      </w:r>
      <w:r w:rsidR="002D213C">
        <w:rPr>
          <w:rFonts w:asciiTheme="minorHAnsi" w:eastAsiaTheme="minorHAnsi" w:hAnsiTheme="minorHAnsi" w:cstheme="minorBidi"/>
          <w:lang w:val="en-US"/>
        </w:rPr>
        <w:t>class</w:t>
      </w:r>
      <w:r>
        <w:rPr>
          <w:rFonts w:asciiTheme="minorHAnsi" w:eastAsiaTheme="minorHAnsi" w:hAnsiTheme="minorHAnsi" w:cstheme="minorBidi"/>
          <w:lang w:val="en-US"/>
        </w:rPr>
        <w:t>es</w:t>
      </w:r>
      <w:r w:rsidR="002D213C">
        <w:rPr>
          <w:rFonts w:asciiTheme="minorHAnsi" w:eastAsiaTheme="minorHAnsi" w:hAnsiTheme="minorHAnsi" w:cstheme="minorBidi"/>
          <w:lang w:val="en-US"/>
        </w:rPr>
        <w:t xml:space="preserve"> </w:t>
      </w:r>
      <w:r w:rsidR="0074002E">
        <w:rPr>
          <w:rFonts w:asciiTheme="minorHAnsi" w:eastAsiaTheme="minorHAnsi" w:hAnsiTheme="minorHAnsi" w:cstheme="minorBidi"/>
          <w:lang w:val="en-US"/>
        </w:rPr>
        <w:t>(</w:t>
      </w:r>
      <w:r w:rsidR="00085F06" w:rsidRPr="00275ADB">
        <w:rPr>
          <w:rFonts w:asciiTheme="minorHAnsi" w:eastAsiaTheme="minorHAnsi" w:hAnsiTheme="minorHAnsi" w:cstheme="minorBidi"/>
          <w:i/>
          <w:lang w:val="en-US"/>
        </w:rPr>
        <w:t>DM1, DM2</w:t>
      </w:r>
      <w:r w:rsidR="00085F06">
        <w:rPr>
          <w:rFonts w:asciiTheme="minorHAnsi" w:eastAsiaTheme="minorHAnsi" w:hAnsiTheme="minorHAnsi" w:cstheme="minorBidi"/>
          <w:lang w:val="en-US"/>
        </w:rPr>
        <w:t xml:space="preserve">, and </w:t>
      </w:r>
      <w:r w:rsidR="00085F06" w:rsidRPr="00275ADB">
        <w:rPr>
          <w:rFonts w:asciiTheme="minorHAnsi" w:eastAsiaTheme="minorHAnsi" w:hAnsiTheme="minorHAnsi" w:cstheme="minorBidi"/>
          <w:i/>
          <w:lang w:val="en-US"/>
        </w:rPr>
        <w:t>DM3</w:t>
      </w:r>
      <w:r w:rsidR="0074002E">
        <w:rPr>
          <w:rFonts w:asciiTheme="minorHAnsi" w:eastAsiaTheme="minorHAnsi" w:hAnsiTheme="minorHAnsi" w:cstheme="minorBidi"/>
          <w:lang w:val="en-US"/>
        </w:rPr>
        <w:t>)</w:t>
      </w:r>
      <w:r w:rsidR="00AD0C8B">
        <w:rPr>
          <w:rFonts w:asciiTheme="minorHAnsi" w:eastAsiaTheme="minorHAnsi" w:hAnsiTheme="minorHAnsi" w:cstheme="minorBidi"/>
          <w:lang w:val="en-US"/>
        </w:rPr>
        <w:t xml:space="preserve">. </w:t>
      </w:r>
      <w:r w:rsidR="00B5751A">
        <w:rPr>
          <w:rFonts w:asciiTheme="minorHAnsi" w:eastAsiaTheme="minorHAnsi" w:hAnsiTheme="minorHAnsi" w:cstheme="minorBidi"/>
          <w:lang w:val="en-US"/>
        </w:rPr>
        <w:t>As discussed earlier in Table 5, e</w:t>
      </w:r>
      <w:r w:rsidR="00AD0C8B">
        <w:rPr>
          <w:rFonts w:asciiTheme="minorHAnsi" w:eastAsiaTheme="minorHAnsi" w:hAnsiTheme="minorHAnsi" w:cstheme="minorBidi"/>
          <w:lang w:val="en-US"/>
        </w:rPr>
        <w:t xml:space="preserve">ach row corresponds to the average </w:t>
      </w:r>
      <w:r w:rsidR="00B5751A">
        <w:rPr>
          <w:rFonts w:asciiTheme="minorHAnsi" w:eastAsiaTheme="minorHAnsi" w:hAnsiTheme="minorHAnsi" w:cstheme="minorBidi"/>
          <w:lang w:val="en-US"/>
        </w:rPr>
        <w:t xml:space="preserve">relative performance, which is calculated as the </w:t>
      </w:r>
      <w:r w:rsidR="000D60DD" w:rsidRPr="000D60DD">
        <w:rPr>
          <w:rFonts w:asciiTheme="minorHAnsi" w:eastAsiaTheme="minorHAnsi" w:hAnsiTheme="minorHAnsi" w:cstheme="minorBidi"/>
          <w:lang w:val="en-US"/>
        </w:rPr>
        <w:t xml:space="preserve">PDP objective </w:t>
      </w:r>
      <w:r w:rsidR="00B5751A">
        <w:rPr>
          <w:rFonts w:asciiTheme="minorHAnsi" w:eastAsiaTheme="minorHAnsi" w:hAnsiTheme="minorHAnsi" w:cstheme="minorBidi"/>
          <w:lang w:val="en-US"/>
        </w:rPr>
        <w:t xml:space="preserve">function </w:t>
      </w:r>
      <w:r w:rsidR="000D60DD" w:rsidRPr="000D60DD">
        <w:rPr>
          <w:rFonts w:asciiTheme="minorHAnsi" w:eastAsiaTheme="minorHAnsi" w:hAnsiTheme="minorHAnsi" w:cstheme="minorBidi"/>
          <w:lang w:val="en-US"/>
        </w:rPr>
        <w:t>value</w:t>
      </w:r>
      <w:r w:rsidR="00B5751A">
        <w:rPr>
          <w:rFonts w:asciiTheme="minorHAnsi" w:eastAsiaTheme="minorHAnsi" w:hAnsiTheme="minorHAnsi" w:cstheme="minorBidi"/>
          <w:lang w:val="en-US"/>
        </w:rPr>
        <w:t>s divided by</w:t>
      </w:r>
      <w:r w:rsidR="000D60DD" w:rsidRPr="000D60DD">
        <w:rPr>
          <w:rFonts w:asciiTheme="minorHAnsi" w:eastAsiaTheme="minorHAnsi" w:hAnsiTheme="minorHAnsi" w:cstheme="minorBidi"/>
          <w:lang w:val="en-US"/>
        </w:rPr>
        <w:t xml:space="preserve"> </w:t>
      </w:r>
      <w:r w:rsidR="000D60DD" w:rsidRPr="000D60DD">
        <w:rPr>
          <w:rFonts w:asciiTheme="minorHAnsi" w:eastAsiaTheme="minorHAnsi" w:hAnsiTheme="minorHAnsi" w:cstheme="minorBidi"/>
          <w:lang w:val="en-US"/>
        </w:rPr>
        <w:lastRenderedPageBreak/>
        <w:t xml:space="preserve">the VRPCD objective </w:t>
      </w:r>
      <w:r w:rsidR="00B5751A">
        <w:rPr>
          <w:rFonts w:asciiTheme="minorHAnsi" w:eastAsiaTheme="minorHAnsi" w:hAnsiTheme="minorHAnsi" w:cstheme="minorBidi"/>
          <w:lang w:val="en-US"/>
        </w:rPr>
        <w:t xml:space="preserve">function </w:t>
      </w:r>
      <w:r w:rsidR="000D60DD" w:rsidRPr="000D60DD">
        <w:rPr>
          <w:rFonts w:asciiTheme="minorHAnsi" w:eastAsiaTheme="minorHAnsi" w:hAnsiTheme="minorHAnsi" w:cstheme="minorBidi"/>
          <w:lang w:val="en-US"/>
        </w:rPr>
        <w:t>value</w:t>
      </w:r>
      <w:r w:rsidR="00B5751A">
        <w:rPr>
          <w:rFonts w:asciiTheme="minorHAnsi" w:eastAsiaTheme="minorHAnsi" w:hAnsiTheme="minorHAnsi" w:cstheme="minorBidi"/>
          <w:lang w:val="en-US"/>
        </w:rPr>
        <w:t>s, for</w:t>
      </w:r>
      <w:r w:rsidR="000D60DD" w:rsidRPr="000D60DD">
        <w:rPr>
          <w:rFonts w:asciiTheme="minorHAnsi" w:eastAsiaTheme="minorHAnsi" w:hAnsiTheme="minorHAnsi" w:cstheme="minorBidi"/>
          <w:lang w:val="en-US"/>
        </w:rPr>
        <w:t xml:space="preserve"> specific subsets </w:t>
      </w:r>
      <w:r w:rsidR="00B5751A">
        <w:rPr>
          <w:rFonts w:asciiTheme="minorHAnsi" w:eastAsiaTheme="minorHAnsi" w:hAnsiTheme="minorHAnsi" w:cstheme="minorBidi"/>
          <w:lang w:val="en-US"/>
        </w:rPr>
        <w:t>of problem</w:t>
      </w:r>
      <w:r w:rsidR="000D60DD" w:rsidRPr="000D60DD">
        <w:rPr>
          <w:rFonts w:asciiTheme="minorHAnsi" w:eastAsiaTheme="minorHAnsi" w:hAnsiTheme="minorHAnsi" w:cstheme="minorBidi"/>
          <w:lang w:val="en-US"/>
        </w:rPr>
        <w:t xml:space="preserve"> instances</w:t>
      </w:r>
      <w:r w:rsidR="00AD0C8B">
        <w:rPr>
          <w:rFonts w:asciiTheme="minorHAnsi" w:eastAsiaTheme="minorHAnsi" w:hAnsiTheme="minorHAnsi" w:cstheme="minorBidi"/>
          <w:lang w:val="en-US"/>
        </w:rPr>
        <w:t xml:space="preserve"> obtained by fixing a given parameter to a specific level and varying all other parameters.</w:t>
      </w:r>
    </w:p>
    <w:p w:rsidR="00F00EA5" w:rsidRDefault="00F00EA5" w:rsidP="00F00EA5">
      <w:pPr>
        <w:pStyle w:val="RoadefTexte"/>
        <w:tabs>
          <w:tab w:val="left" w:pos="7186"/>
        </w:tabs>
        <w:spacing w:after="0" w:line="276" w:lineRule="auto"/>
        <w:ind w:firstLine="0"/>
        <w:outlineLvl w:val="0"/>
        <w:rPr>
          <w:rFonts w:asciiTheme="minorHAnsi" w:hAnsiTheme="minorHAnsi"/>
          <w:b/>
          <w:lang w:val="en-US"/>
        </w:rPr>
      </w:pPr>
    </w:p>
    <w:p w:rsidR="00EB348E" w:rsidRPr="00F722F5" w:rsidRDefault="00F00EA5" w:rsidP="00F00EA5">
      <w:pPr>
        <w:pStyle w:val="RoadefTexte"/>
        <w:tabs>
          <w:tab w:val="left" w:pos="7186"/>
        </w:tabs>
        <w:spacing w:after="0" w:line="276" w:lineRule="auto"/>
        <w:ind w:firstLine="0"/>
        <w:outlineLvl w:val="0"/>
        <w:rPr>
          <w:rFonts w:asciiTheme="minorHAnsi" w:hAnsiTheme="minorHAnsi"/>
          <w:sz w:val="20"/>
          <w:lang w:val="en-US"/>
        </w:rPr>
      </w:pPr>
      <w:proofErr w:type="gramStart"/>
      <w:r w:rsidRPr="008C08C3">
        <w:rPr>
          <w:rFonts w:asciiTheme="minorHAnsi" w:hAnsiTheme="minorHAnsi"/>
          <w:b/>
          <w:sz w:val="20"/>
          <w:lang w:val="en-US"/>
        </w:rPr>
        <w:t xml:space="preserve">Table </w:t>
      </w:r>
      <w:r>
        <w:rPr>
          <w:rFonts w:asciiTheme="minorHAnsi" w:hAnsiTheme="minorHAnsi"/>
          <w:b/>
          <w:sz w:val="20"/>
          <w:lang w:val="en-US"/>
        </w:rPr>
        <w:t>6</w:t>
      </w:r>
      <w:r w:rsidRPr="008C08C3">
        <w:rPr>
          <w:rFonts w:asciiTheme="minorHAnsi" w:hAnsiTheme="minorHAnsi"/>
          <w:b/>
          <w:sz w:val="20"/>
          <w:lang w:val="en-US"/>
        </w:rPr>
        <w:t>.</w:t>
      </w:r>
      <w:proofErr w:type="gramEnd"/>
      <w:r w:rsidRPr="008C08C3">
        <w:rPr>
          <w:rFonts w:asciiTheme="minorHAnsi" w:hAnsiTheme="minorHAnsi"/>
          <w:b/>
          <w:sz w:val="20"/>
          <w:lang w:val="en-US"/>
        </w:rPr>
        <w:t xml:space="preserve"> </w:t>
      </w:r>
      <w:r w:rsidRPr="00BD3852">
        <w:rPr>
          <w:rFonts w:asciiTheme="minorHAnsi" w:hAnsiTheme="minorHAnsi"/>
          <w:sz w:val="20"/>
          <w:lang w:val="en-US"/>
        </w:rPr>
        <w:t>Relative performance</w:t>
      </w:r>
      <w:r w:rsidRPr="00B5751A">
        <w:rPr>
          <w:rFonts w:asciiTheme="minorHAnsi" w:hAnsiTheme="minorHAnsi"/>
          <w:sz w:val="20"/>
          <w:lang w:val="en-US"/>
        </w:rPr>
        <w:t xml:space="preserve"> </w:t>
      </w:r>
      <w:r w:rsidRPr="00B5751A">
        <w:rPr>
          <w:rFonts w:asciiTheme="minorHAnsi" w:hAnsiTheme="minorHAnsi"/>
          <w:i/>
          <w:sz w:val="20"/>
          <w:lang w:val="el-GR"/>
        </w:rPr>
        <w:t>λ</w:t>
      </w:r>
      <w:r w:rsidRPr="00B5751A">
        <w:rPr>
          <w:rFonts w:asciiTheme="minorHAnsi" w:hAnsiTheme="minorHAnsi"/>
          <w:sz w:val="20"/>
          <w:lang w:val="en-US"/>
        </w:rPr>
        <w:t xml:space="preserve"> </w:t>
      </w:r>
      <w:r w:rsidRPr="00BD3852">
        <w:rPr>
          <w:rFonts w:asciiTheme="minorHAnsi" w:hAnsiTheme="minorHAnsi"/>
          <w:sz w:val="20"/>
          <w:lang w:val="en-US"/>
        </w:rPr>
        <w:t>between the direct shipping and the cross-docking strategies for Data Set I</w:t>
      </w:r>
      <w:r w:rsidR="006E584A">
        <w:rPr>
          <w:rFonts w:asciiTheme="minorHAnsi" w:hAnsiTheme="minorHAnsi"/>
          <w:sz w:val="20"/>
          <w:lang w:val="en-US"/>
        </w:rPr>
        <w:t>I</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53"/>
        <w:gridCol w:w="387"/>
        <w:gridCol w:w="1800"/>
        <w:gridCol w:w="1710"/>
        <w:gridCol w:w="360"/>
        <w:gridCol w:w="1440"/>
        <w:gridCol w:w="1279"/>
        <w:gridCol w:w="1331"/>
      </w:tblGrid>
      <w:tr w:rsidR="00EB348E" w:rsidTr="006E584A">
        <w:tc>
          <w:tcPr>
            <w:tcW w:w="1053" w:type="dxa"/>
            <w:tcBorders>
              <w:top w:val="single" w:sz="4" w:space="0" w:color="auto"/>
              <w:bottom w:val="single" w:sz="4" w:space="0" w:color="auto"/>
            </w:tcBorders>
          </w:tcPr>
          <w:p w:rsidR="00EB348E" w:rsidRDefault="00EB348E" w:rsidP="006E584A">
            <w:pPr>
              <w:pStyle w:val="RoadefTexte"/>
              <w:spacing w:line="276" w:lineRule="auto"/>
              <w:ind w:firstLine="0"/>
              <w:rPr>
                <w:rFonts w:asciiTheme="minorHAnsi" w:hAnsiTheme="minorHAnsi"/>
                <w:b/>
                <w:lang w:val="en-US"/>
              </w:rPr>
            </w:pPr>
            <w:r>
              <w:rPr>
                <w:rFonts w:asciiTheme="minorHAnsi" w:hAnsiTheme="minorHAnsi"/>
                <w:b/>
                <w:sz w:val="18"/>
                <w:szCs w:val="20"/>
                <w:lang w:val="en-US"/>
              </w:rPr>
              <w:t>Level/Class</w:t>
            </w:r>
          </w:p>
        </w:tc>
        <w:tc>
          <w:tcPr>
            <w:tcW w:w="387" w:type="dxa"/>
            <w:tcBorders>
              <w:top w:val="single" w:sz="4" w:space="0" w:color="auto"/>
              <w:bottom w:val="nil"/>
            </w:tcBorders>
          </w:tcPr>
          <w:p w:rsidR="00EB348E" w:rsidRPr="001F2185" w:rsidRDefault="00EB348E" w:rsidP="006E584A">
            <w:pPr>
              <w:pStyle w:val="RoadefTexte"/>
              <w:spacing w:line="276" w:lineRule="auto"/>
              <w:ind w:firstLine="0"/>
              <w:jc w:val="center"/>
              <w:rPr>
                <w:rFonts w:asciiTheme="minorHAnsi" w:hAnsiTheme="minorHAnsi"/>
                <w:b/>
                <w:sz w:val="18"/>
                <w:szCs w:val="20"/>
                <w:lang w:val="en-US"/>
              </w:rPr>
            </w:pPr>
          </w:p>
        </w:tc>
        <w:tc>
          <w:tcPr>
            <w:tcW w:w="1800" w:type="dxa"/>
            <w:tcBorders>
              <w:top w:val="single" w:sz="4" w:space="0" w:color="auto"/>
              <w:bottom w:val="single" w:sz="4" w:space="0" w:color="auto"/>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r w:rsidRPr="001F2185">
              <w:rPr>
                <w:rFonts w:asciiTheme="minorHAnsi" w:hAnsiTheme="minorHAnsi"/>
                <w:b/>
                <w:sz w:val="18"/>
                <w:szCs w:val="20"/>
                <w:lang w:val="en-US"/>
              </w:rPr>
              <w:t>R</w:t>
            </w:r>
          </w:p>
        </w:tc>
        <w:tc>
          <w:tcPr>
            <w:tcW w:w="1710" w:type="dxa"/>
            <w:tcBorders>
              <w:top w:val="single" w:sz="4" w:space="0" w:color="auto"/>
              <w:bottom w:val="single" w:sz="4" w:space="0" w:color="auto"/>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r w:rsidRPr="001F2185">
              <w:rPr>
                <w:rFonts w:asciiTheme="minorHAnsi" w:hAnsiTheme="minorHAnsi"/>
                <w:b/>
                <w:sz w:val="18"/>
                <w:szCs w:val="20"/>
                <w:lang w:val="en-US"/>
              </w:rPr>
              <w:t>C</w:t>
            </w:r>
          </w:p>
        </w:tc>
        <w:tc>
          <w:tcPr>
            <w:tcW w:w="360" w:type="dxa"/>
            <w:tcBorders>
              <w:top w:val="single" w:sz="4" w:space="0" w:color="auto"/>
              <w:bottom w:val="nil"/>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single" w:sz="4" w:space="0" w:color="auto"/>
              <w:bottom w:val="single" w:sz="4" w:space="0" w:color="auto"/>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r w:rsidRPr="001F2185">
              <w:rPr>
                <w:rFonts w:asciiTheme="minorHAnsi" w:hAnsiTheme="minorHAnsi"/>
                <w:b/>
                <w:sz w:val="18"/>
                <w:szCs w:val="20"/>
                <w:lang w:val="en-US"/>
              </w:rPr>
              <w:t>DS</w:t>
            </w:r>
          </w:p>
        </w:tc>
        <w:tc>
          <w:tcPr>
            <w:tcW w:w="1279" w:type="dxa"/>
            <w:tcBorders>
              <w:top w:val="single" w:sz="4" w:space="0" w:color="auto"/>
              <w:bottom w:val="single" w:sz="4" w:space="0" w:color="auto"/>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r w:rsidRPr="001F2185">
              <w:rPr>
                <w:rFonts w:asciiTheme="minorHAnsi" w:hAnsiTheme="minorHAnsi"/>
                <w:b/>
                <w:sz w:val="18"/>
                <w:lang w:val="en-US"/>
              </w:rPr>
              <w:t>DC</w:t>
            </w:r>
          </w:p>
        </w:tc>
        <w:tc>
          <w:tcPr>
            <w:tcW w:w="1331" w:type="dxa"/>
            <w:tcBorders>
              <w:top w:val="single" w:sz="4" w:space="0" w:color="auto"/>
              <w:bottom w:val="single" w:sz="4" w:space="0" w:color="auto"/>
            </w:tcBorders>
          </w:tcPr>
          <w:p w:rsidR="00EB348E" w:rsidRPr="001F2185" w:rsidRDefault="00EB348E" w:rsidP="006E584A">
            <w:pPr>
              <w:pStyle w:val="RoadefTexte"/>
              <w:spacing w:line="276" w:lineRule="auto"/>
              <w:ind w:firstLine="0"/>
              <w:jc w:val="center"/>
              <w:rPr>
                <w:rFonts w:asciiTheme="minorHAnsi" w:hAnsiTheme="minorHAnsi"/>
                <w:b/>
                <w:sz w:val="18"/>
                <w:lang w:val="en-US"/>
              </w:rPr>
            </w:pPr>
            <w:r w:rsidRPr="001F2185">
              <w:rPr>
                <w:rFonts w:asciiTheme="minorHAnsi" w:hAnsiTheme="minorHAnsi"/>
                <w:b/>
                <w:sz w:val="18"/>
                <w:lang w:val="en-US"/>
              </w:rPr>
              <w:t>CL</w:t>
            </w:r>
          </w:p>
        </w:tc>
      </w:tr>
      <w:tr w:rsidR="00EB348E" w:rsidTr="006E584A">
        <w:tc>
          <w:tcPr>
            <w:tcW w:w="1053" w:type="dxa"/>
            <w:tcBorders>
              <w:top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Q1</w:t>
            </w:r>
          </w:p>
        </w:tc>
        <w:tc>
          <w:tcPr>
            <w:tcW w:w="387" w:type="dxa"/>
            <w:tcBorders>
              <w:top w:val="nil"/>
            </w:tcBorders>
          </w:tcPr>
          <w:p w:rsidR="00EB348E" w:rsidRPr="00BE7504" w:rsidRDefault="00EB348E" w:rsidP="006E584A">
            <w:pPr>
              <w:jc w:val="center"/>
              <w:rPr>
                <w:rFonts w:ascii="Calibri" w:hAnsi="Calibri"/>
                <w:sz w:val="18"/>
              </w:rPr>
            </w:pPr>
          </w:p>
        </w:tc>
        <w:tc>
          <w:tcPr>
            <w:tcW w:w="180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w:t>
            </w:r>
            <w:r>
              <w:rPr>
                <w:rFonts w:ascii="Calibri" w:hAnsi="Calibri"/>
                <w:sz w:val="18"/>
              </w:rPr>
              <w:t>60</w:t>
            </w:r>
          </w:p>
        </w:tc>
        <w:tc>
          <w:tcPr>
            <w:tcW w:w="171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8</w:t>
            </w:r>
          </w:p>
        </w:tc>
        <w:tc>
          <w:tcPr>
            <w:tcW w:w="360" w:type="dxa"/>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0.64</w:t>
            </w:r>
          </w:p>
        </w:tc>
        <w:tc>
          <w:tcPr>
            <w:tcW w:w="1279"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0.69</w:t>
            </w:r>
          </w:p>
        </w:tc>
        <w:tc>
          <w:tcPr>
            <w:tcW w:w="1331"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0.73</w:t>
            </w:r>
          </w:p>
        </w:tc>
      </w:tr>
      <w:tr w:rsidR="00EB348E" w:rsidTr="006E584A">
        <w:tc>
          <w:tcPr>
            <w:tcW w:w="1053" w:type="dxa"/>
            <w:tcBorders>
              <w:bottom w:val="nil"/>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Q2</w:t>
            </w:r>
          </w:p>
        </w:tc>
        <w:tc>
          <w:tcPr>
            <w:tcW w:w="387" w:type="dxa"/>
            <w:tcBorders>
              <w:bottom w:val="nil"/>
            </w:tcBorders>
          </w:tcPr>
          <w:p w:rsidR="00EB348E" w:rsidRPr="00BE7504" w:rsidRDefault="00EB348E" w:rsidP="006E584A">
            <w:pPr>
              <w:jc w:val="center"/>
              <w:rPr>
                <w:rFonts w:ascii="Calibri" w:hAnsi="Calibri"/>
                <w:sz w:val="18"/>
              </w:rPr>
            </w:pPr>
          </w:p>
        </w:tc>
        <w:tc>
          <w:tcPr>
            <w:tcW w:w="180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5</w:t>
            </w:r>
          </w:p>
        </w:tc>
        <w:tc>
          <w:tcPr>
            <w:tcW w:w="171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0.80</w:t>
            </w:r>
          </w:p>
        </w:tc>
        <w:tc>
          <w:tcPr>
            <w:tcW w:w="360" w:type="dxa"/>
            <w:tcBorders>
              <w:bottom w:val="nil"/>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8</w:t>
            </w:r>
          </w:p>
        </w:tc>
        <w:tc>
          <w:tcPr>
            <w:tcW w:w="1279"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0.71</w:t>
            </w:r>
          </w:p>
        </w:tc>
        <w:tc>
          <w:tcPr>
            <w:tcW w:w="1331"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8</w:t>
            </w:r>
          </w:p>
        </w:tc>
      </w:tr>
      <w:tr w:rsidR="00EB348E" w:rsidTr="006E584A">
        <w:tc>
          <w:tcPr>
            <w:tcW w:w="1053" w:type="dxa"/>
            <w:tcBorders>
              <w:top w:val="nil"/>
              <w:bottom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Q3</w:t>
            </w:r>
          </w:p>
        </w:tc>
        <w:tc>
          <w:tcPr>
            <w:tcW w:w="387" w:type="dxa"/>
            <w:tcBorders>
              <w:top w:val="nil"/>
              <w:bottom w:val="nil"/>
            </w:tcBorders>
          </w:tcPr>
          <w:p w:rsidR="00EB348E" w:rsidRPr="00BE7504" w:rsidRDefault="00EB348E" w:rsidP="006E584A">
            <w:pPr>
              <w:jc w:val="center"/>
              <w:rPr>
                <w:rFonts w:ascii="Calibri" w:hAnsi="Calibri"/>
                <w:sz w:val="18"/>
              </w:rPr>
            </w:pPr>
          </w:p>
        </w:tc>
        <w:tc>
          <w:tcPr>
            <w:tcW w:w="180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0.66</w:t>
            </w:r>
          </w:p>
        </w:tc>
        <w:tc>
          <w:tcPr>
            <w:tcW w:w="171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0.80</w:t>
            </w:r>
          </w:p>
        </w:tc>
        <w:tc>
          <w:tcPr>
            <w:tcW w:w="360" w:type="dxa"/>
            <w:tcBorders>
              <w:top w:val="nil"/>
              <w:bottom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w:t>
            </w:r>
            <w:r>
              <w:rPr>
                <w:rFonts w:ascii="Calibri" w:hAnsi="Calibri"/>
                <w:sz w:val="18"/>
              </w:rPr>
              <w:t>70</w:t>
            </w:r>
          </w:p>
        </w:tc>
        <w:tc>
          <w:tcPr>
            <w:tcW w:w="1279"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0.72</w:t>
            </w:r>
          </w:p>
        </w:tc>
        <w:tc>
          <w:tcPr>
            <w:tcW w:w="1331"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8</w:t>
            </w:r>
          </w:p>
        </w:tc>
      </w:tr>
      <w:tr w:rsidR="00EB348E" w:rsidTr="006E584A">
        <w:tc>
          <w:tcPr>
            <w:tcW w:w="1053" w:type="dxa"/>
            <w:tcBorders>
              <w:top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T1</w:t>
            </w:r>
          </w:p>
        </w:tc>
        <w:tc>
          <w:tcPr>
            <w:tcW w:w="387" w:type="dxa"/>
            <w:tcBorders>
              <w:top w:val="nil"/>
            </w:tcBorders>
          </w:tcPr>
          <w:p w:rsidR="00EB348E" w:rsidRPr="00BE7504" w:rsidRDefault="00EB348E" w:rsidP="006E584A">
            <w:pPr>
              <w:jc w:val="center"/>
              <w:rPr>
                <w:rFonts w:ascii="Calibri" w:hAnsi="Calibri"/>
                <w:sz w:val="18"/>
              </w:rPr>
            </w:pPr>
          </w:p>
        </w:tc>
        <w:tc>
          <w:tcPr>
            <w:tcW w:w="180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4</w:t>
            </w:r>
          </w:p>
        </w:tc>
        <w:tc>
          <w:tcPr>
            <w:tcW w:w="171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0.79</w:t>
            </w:r>
          </w:p>
        </w:tc>
        <w:tc>
          <w:tcPr>
            <w:tcW w:w="360" w:type="dxa"/>
            <w:tcBorders>
              <w:top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0.68</w:t>
            </w:r>
          </w:p>
        </w:tc>
        <w:tc>
          <w:tcPr>
            <w:tcW w:w="1279"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0.71</w:t>
            </w:r>
          </w:p>
        </w:tc>
        <w:tc>
          <w:tcPr>
            <w:tcW w:w="1331"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5</w:t>
            </w:r>
          </w:p>
        </w:tc>
      </w:tr>
      <w:tr w:rsidR="00EB348E" w:rsidTr="006E584A">
        <w:tc>
          <w:tcPr>
            <w:tcW w:w="1053" w:type="dxa"/>
            <w:tcBorders>
              <w:bottom w:val="nil"/>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T2</w:t>
            </w:r>
          </w:p>
        </w:tc>
        <w:tc>
          <w:tcPr>
            <w:tcW w:w="387" w:type="dxa"/>
            <w:tcBorders>
              <w:bottom w:val="nil"/>
            </w:tcBorders>
          </w:tcPr>
          <w:p w:rsidR="00EB348E" w:rsidRPr="00BE7504" w:rsidRDefault="00EB348E" w:rsidP="006E584A">
            <w:pPr>
              <w:jc w:val="center"/>
              <w:rPr>
                <w:rFonts w:ascii="Calibri" w:hAnsi="Calibri"/>
                <w:sz w:val="18"/>
              </w:rPr>
            </w:pPr>
          </w:p>
        </w:tc>
        <w:tc>
          <w:tcPr>
            <w:tcW w:w="180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5</w:t>
            </w:r>
          </w:p>
        </w:tc>
        <w:tc>
          <w:tcPr>
            <w:tcW w:w="171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0.80</w:t>
            </w:r>
          </w:p>
        </w:tc>
        <w:tc>
          <w:tcPr>
            <w:tcW w:w="360" w:type="dxa"/>
            <w:tcBorders>
              <w:bottom w:val="nil"/>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8</w:t>
            </w:r>
          </w:p>
        </w:tc>
        <w:tc>
          <w:tcPr>
            <w:tcW w:w="1279"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2</w:t>
            </w:r>
          </w:p>
        </w:tc>
        <w:tc>
          <w:tcPr>
            <w:tcW w:w="1331"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0.78</w:t>
            </w:r>
          </w:p>
        </w:tc>
      </w:tr>
      <w:tr w:rsidR="00EB348E" w:rsidTr="006E584A">
        <w:tc>
          <w:tcPr>
            <w:tcW w:w="1053" w:type="dxa"/>
            <w:tcBorders>
              <w:top w:val="nil"/>
              <w:bottom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T3</w:t>
            </w:r>
          </w:p>
        </w:tc>
        <w:tc>
          <w:tcPr>
            <w:tcW w:w="387" w:type="dxa"/>
            <w:tcBorders>
              <w:top w:val="nil"/>
              <w:bottom w:val="nil"/>
            </w:tcBorders>
          </w:tcPr>
          <w:p w:rsidR="00EB348E" w:rsidRPr="00BE7504" w:rsidRDefault="00EB348E" w:rsidP="006E584A">
            <w:pPr>
              <w:jc w:val="center"/>
              <w:rPr>
                <w:rFonts w:ascii="Calibri" w:hAnsi="Calibri"/>
                <w:sz w:val="18"/>
              </w:rPr>
            </w:pPr>
          </w:p>
        </w:tc>
        <w:tc>
          <w:tcPr>
            <w:tcW w:w="180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0.62</w:t>
            </w:r>
          </w:p>
        </w:tc>
        <w:tc>
          <w:tcPr>
            <w:tcW w:w="171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0.79</w:t>
            </w:r>
          </w:p>
        </w:tc>
        <w:tc>
          <w:tcPr>
            <w:tcW w:w="360" w:type="dxa"/>
            <w:tcBorders>
              <w:top w:val="nil"/>
              <w:bottom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6</w:t>
            </w:r>
          </w:p>
        </w:tc>
        <w:tc>
          <w:tcPr>
            <w:tcW w:w="1279"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0.70</w:t>
            </w:r>
          </w:p>
        </w:tc>
        <w:tc>
          <w:tcPr>
            <w:tcW w:w="1331"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6</w:t>
            </w:r>
          </w:p>
        </w:tc>
      </w:tr>
      <w:tr w:rsidR="00EB348E" w:rsidTr="006E584A">
        <w:tc>
          <w:tcPr>
            <w:tcW w:w="1053" w:type="dxa"/>
            <w:tcBorders>
              <w:top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D1</w:t>
            </w:r>
          </w:p>
        </w:tc>
        <w:tc>
          <w:tcPr>
            <w:tcW w:w="387" w:type="dxa"/>
            <w:tcBorders>
              <w:top w:val="nil"/>
            </w:tcBorders>
          </w:tcPr>
          <w:p w:rsidR="00EB348E" w:rsidRPr="00BE7504" w:rsidRDefault="00EB348E" w:rsidP="006E584A">
            <w:pPr>
              <w:jc w:val="center"/>
              <w:rPr>
                <w:rFonts w:ascii="Calibri" w:hAnsi="Calibri"/>
                <w:sz w:val="18"/>
              </w:rPr>
            </w:pPr>
          </w:p>
        </w:tc>
        <w:tc>
          <w:tcPr>
            <w:tcW w:w="180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0.8</w:t>
            </w:r>
            <w:r>
              <w:rPr>
                <w:rFonts w:ascii="Calibri" w:hAnsi="Calibri"/>
                <w:sz w:val="18"/>
              </w:rPr>
              <w:t>8</w:t>
            </w:r>
          </w:p>
        </w:tc>
        <w:tc>
          <w:tcPr>
            <w:tcW w:w="1710" w:type="dxa"/>
            <w:tcBorders>
              <w:top w:val="single" w:sz="4" w:space="0" w:color="auto"/>
            </w:tcBorders>
            <w:vAlign w:val="bottom"/>
          </w:tcPr>
          <w:p w:rsidR="00EB348E" w:rsidRPr="00BE7504" w:rsidRDefault="00EB348E" w:rsidP="006E584A">
            <w:pPr>
              <w:jc w:val="center"/>
              <w:rPr>
                <w:rFonts w:ascii="Calibri" w:hAnsi="Calibri"/>
                <w:sz w:val="18"/>
              </w:rPr>
            </w:pPr>
            <w:r>
              <w:rPr>
                <w:rFonts w:ascii="Calibri" w:hAnsi="Calibri"/>
                <w:sz w:val="18"/>
              </w:rPr>
              <w:t>1.00</w:t>
            </w:r>
          </w:p>
        </w:tc>
        <w:tc>
          <w:tcPr>
            <w:tcW w:w="360" w:type="dxa"/>
            <w:tcBorders>
              <w:top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0.8</w:t>
            </w:r>
            <w:r>
              <w:rPr>
                <w:rFonts w:ascii="Calibri" w:hAnsi="Calibri"/>
                <w:sz w:val="18"/>
              </w:rPr>
              <w:t>6</w:t>
            </w:r>
          </w:p>
        </w:tc>
        <w:tc>
          <w:tcPr>
            <w:tcW w:w="1279"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0.93</w:t>
            </w:r>
          </w:p>
        </w:tc>
        <w:tc>
          <w:tcPr>
            <w:tcW w:w="1331"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1.0</w:t>
            </w:r>
            <w:r>
              <w:rPr>
                <w:rFonts w:ascii="Calibri" w:hAnsi="Calibri"/>
                <w:sz w:val="18"/>
              </w:rPr>
              <w:t>2</w:t>
            </w:r>
          </w:p>
        </w:tc>
      </w:tr>
      <w:tr w:rsidR="00EB348E" w:rsidTr="006E584A">
        <w:tc>
          <w:tcPr>
            <w:tcW w:w="1053" w:type="dxa"/>
            <w:tcBorders>
              <w:bottom w:val="nil"/>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D2</w:t>
            </w:r>
          </w:p>
        </w:tc>
        <w:tc>
          <w:tcPr>
            <w:tcW w:w="387" w:type="dxa"/>
            <w:tcBorders>
              <w:bottom w:val="nil"/>
            </w:tcBorders>
          </w:tcPr>
          <w:p w:rsidR="00EB348E" w:rsidRPr="00BE7504" w:rsidRDefault="00EB348E" w:rsidP="006E584A">
            <w:pPr>
              <w:jc w:val="center"/>
              <w:rPr>
                <w:rFonts w:ascii="Calibri" w:hAnsi="Calibri"/>
                <w:sz w:val="18"/>
              </w:rPr>
            </w:pPr>
          </w:p>
        </w:tc>
        <w:tc>
          <w:tcPr>
            <w:tcW w:w="180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1</w:t>
            </w:r>
          </w:p>
        </w:tc>
        <w:tc>
          <w:tcPr>
            <w:tcW w:w="171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0.8</w:t>
            </w:r>
            <w:r>
              <w:rPr>
                <w:rFonts w:ascii="Calibri" w:hAnsi="Calibri"/>
                <w:sz w:val="18"/>
              </w:rPr>
              <w:t>1</w:t>
            </w:r>
          </w:p>
        </w:tc>
        <w:tc>
          <w:tcPr>
            <w:tcW w:w="360" w:type="dxa"/>
            <w:tcBorders>
              <w:bottom w:val="nil"/>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7</w:t>
            </w:r>
          </w:p>
        </w:tc>
        <w:tc>
          <w:tcPr>
            <w:tcW w:w="1279"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1</w:t>
            </w:r>
          </w:p>
        </w:tc>
        <w:tc>
          <w:tcPr>
            <w:tcW w:w="1331" w:type="dxa"/>
            <w:tcBorders>
              <w:bottom w:val="nil"/>
            </w:tcBorders>
            <w:vAlign w:val="bottom"/>
          </w:tcPr>
          <w:p w:rsidR="00EB348E" w:rsidRPr="00BE7504" w:rsidRDefault="00EB348E" w:rsidP="006E584A">
            <w:pPr>
              <w:jc w:val="center"/>
              <w:rPr>
                <w:rFonts w:ascii="Calibri" w:hAnsi="Calibri"/>
                <w:sz w:val="18"/>
              </w:rPr>
            </w:pPr>
            <w:r w:rsidRPr="00BE7504">
              <w:rPr>
                <w:rFonts w:ascii="Calibri" w:hAnsi="Calibri"/>
                <w:sz w:val="18"/>
              </w:rPr>
              <w:t>0.74</w:t>
            </w:r>
          </w:p>
        </w:tc>
      </w:tr>
      <w:tr w:rsidR="00EB348E" w:rsidTr="006E584A">
        <w:tc>
          <w:tcPr>
            <w:tcW w:w="1053" w:type="dxa"/>
            <w:tcBorders>
              <w:top w:val="nil"/>
              <w:bottom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D3</w:t>
            </w:r>
          </w:p>
        </w:tc>
        <w:tc>
          <w:tcPr>
            <w:tcW w:w="387" w:type="dxa"/>
            <w:tcBorders>
              <w:top w:val="nil"/>
              <w:bottom w:val="nil"/>
            </w:tcBorders>
          </w:tcPr>
          <w:p w:rsidR="00EB348E" w:rsidRPr="00BE7504" w:rsidRDefault="00EB348E" w:rsidP="006E584A">
            <w:pPr>
              <w:jc w:val="center"/>
              <w:rPr>
                <w:rFonts w:ascii="Calibri" w:hAnsi="Calibri"/>
                <w:sz w:val="18"/>
              </w:rPr>
            </w:pPr>
          </w:p>
        </w:tc>
        <w:tc>
          <w:tcPr>
            <w:tcW w:w="180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0.42</w:t>
            </w:r>
          </w:p>
        </w:tc>
        <w:tc>
          <w:tcPr>
            <w:tcW w:w="171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0.58</w:t>
            </w:r>
          </w:p>
        </w:tc>
        <w:tc>
          <w:tcPr>
            <w:tcW w:w="360" w:type="dxa"/>
            <w:tcBorders>
              <w:top w:val="nil"/>
              <w:bottom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0.4</w:t>
            </w:r>
            <w:r>
              <w:rPr>
                <w:rFonts w:ascii="Calibri" w:hAnsi="Calibri"/>
                <w:sz w:val="18"/>
              </w:rPr>
              <w:t>9</w:t>
            </w:r>
          </w:p>
        </w:tc>
        <w:tc>
          <w:tcPr>
            <w:tcW w:w="1279"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w:t>
            </w:r>
            <w:r>
              <w:rPr>
                <w:rFonts w:ascii="Calibri" w:hAnsi="Calibri"/>
                <w:sz w:val="18"/>
              </w:rPr>
              <w:t>.50</w:t>
            </w:r>
          </w:p>
        </w:tc>
        <w:tc>
          <w:tcPr>
            <w:tcW w:w="1331" w:type="dxa"/>
            <w:tcBorders>
              <w:top w:val="nil"/>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0.52</w:t>
            </w:r>
          </w:p>
        </w:tc>
      </w:tr>
      <w:tr w:rsidR="00EB348E" w:rsidTr="006E584A">
        <w:tc>
          <w:tcPr>
            <w:tcW w:w="1053" w:type="dxa"/>
            <w:tcBorders>
              <w:top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s1</w:t>
            </w:r>
          </w:p>
        </w:tc>
        <w:tc>
          <w:tcPr>
            <w:tcW w:w="387" w:type="dxa"/>
            <w:tcBorders>
              <w:top w:val="nil"/>
            </w:tcBorders>
          </w:tcPr>
          <w:p w:rsidR="00EB348E" w:rsidRPr="00BE7504" w:rsidRDefault="00EB348E" w:rsidP="006E584A">
            <w:pPr>
              <w:jc w:val="center"/>
              <w:rPr>
                <w:rFonts w:ascii="Calibri" w:hAnsi="Calibri"/>
                <w:sz w:val="18"/>
              </w:rPr>
            </w:pPr>
          </w:p>
        </w:tc>
        <w:tc>
          <w:tcPr>
            <w:tcW w:w="180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w:t>
            </w:r>
            <w:r>
              <w:rPr>
                <w:rFonts w:ascii="Calibri" w:hAnsi="Calibri"/>
                <w:sz w:val="18"/>
              </w:rPr>
              <w:t>5</w:t>
            </w:r>
          </w:p>
        </w:tc>
        <w:tc>
          <w:tcPr>
            <w:tcW w:w="171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0.8</w:t>
            </w:r>
            <w:r>
              <w:rPr>
                <w:rFonts w:ascii="Calibri" w:hAnsi="Calibri"/>
                <w:sz w:val="18"/>
              </w:rPr>
              <w:t>1</w:t>
            </w:r>
          </w:p>
        </w:tc>
        <w:tc>
          <w:tcPr>
            <w:tcW w:w="360" w:type="dxa"/>
            <w:tcBorders>
              <w:top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0.67</w:t>
            </w:r>
          </w:p>
        </w:tc>
        <w:tc>
          <w:tcPr>
            <w:tcW w:w="1279"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2</w:t>
            </w:r>
          </w:p>
        </w:tc>
        <w:tc>
          <w:tcPr>
            <w:tcW w:w="1331" w:type="dxa"/>
            <w:tcBorders>
              <w:top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9</w:t>
            </w:r>
          </w:p>
        </w:tc>
      </w:tr>
      <w:tr w:rsidR="00EB348E" w:rsidTr="006E584A">
        <w:tc>
          <w:tcPr>
            <w:tcW w:w="1053" w:type="dxa"/>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s2</w:t>
            </w:r>
          </w:p>
        </w:tc>
        <w:tc>
          <w:tcPr>
            <w:tcW w:w="387" w:type="dxa"/>
          </w:tcPr>
          <w:p w:rsidR="00EB348E" w:rsidRPr="00BE7504" w:rsidRDefault="00EB348E" w:rsidP="006E584A">
            <w:pPr>
              <w:jc w:val="center"/>
              <w:rPr>
                <w:rFonts w:ascii="Calibri" w:hAnsi="Calibri"/>
                <w:sz w:val="18"/>
              </w:rPr>
            </w:pPr>
          </w:p>
        </w:tc>
        <w:tc>
          <w:tcPr>
            <w:tcW w:w="1800" w:type="dxa"/>
            <w:vAlign w:val="bottom"/>
          </w:tcPr>
          <w:p w:rsidR="00EB348E" w:rsidRPr="00BE7504" w:rsidRDefault="00EB348E" w:rsidP="006E584A">
            <w:pPr>
              <w:jc w:val="center"/>
              <w:rPr>
                <w:rFonts w:ascii="Calibri" w:hAnsi="Calibri"/>
                <w:sz w:val="18"/>
              </w:rPr>
            </w:pPr>
            <w:r w:rsidRPr="00BE7504">
              <w:rPr>
                <w:rFonts w:ascii="Calibri" w:hAnsi="Calibri"/>
                <w:sz w:val="18"/>
              </w:rPr>
              <w:t>0.63</w:t>
            </w:r>
          </w:p>
        </w:tc>
        <w:tc>
          <w:tcPr>
            <w:tcW w:w="1710" w:type="dxa"/>
            <w:vAlign w:val="bottom"/>
          </w:tcPr>
          <w:p w:rsidR="00EB348E" w:rsidRPr="00BE7504" w:rsidRDefault="00EB348E" w:rsidP="006E584A">
            <w:pPr>
              <w:jc w:val="center"/>
              <w:rPr>
                <w:rFonts w:ascii="Calibri" w:hAnsi="Calibri"/>
                <w:sz w:val="18"/>
              </w:rPr>
            </w:pPr>
            <w:r w:rsidRPr="00BE7504">
              <w:rPr>
                <w:rFonts w:ascii="Calibri" w:hAnsi="Calibri"/>
                <w:sz w:val="18"/>
              </w:rPr>
              <w:t>0.</w:t>
            </w:r>
            <w:r>
              <w:rPr>
                <w:rFonts w:ascii="Calibri" w:hAnsi="Calibri"/>
                <w:sz w:val="18"/>
              </w:rPr>
              <w:t>80</w:t>
            </w:r>
          </w:p>
        </w:tc>
        <w:tc>
          <w:tcPr>
            <w:tcW w:w="360" w:type="dxa"/>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vAlign w:val="bottom"/>
          </w:tcPr>
          <w:p w:rsidR="00EB348E" w:rsidRPr="00BE7504" w:rsidRDefault="00EB348E" w:rsidP="006E584A">
            <w:pPr>
              <w:jc w:val="center"/>
              <w:rPr>
                <w:rFonts w:ascii="Calibri" w:hAnsi="Calibri"/>
                <w:sz w:val="18"/>
              </w:rPr>
            </w:pPr>
            <w:r w:rsidRPr="00BE7504">
              <w:rPr>
                <w:rFonts w:ascii="Calibri" w:hAnsi="Calibri"/>
                <w:sz w:val="18"/>
              </w:rPr>
              <w:t>0.67</w:t>
            </w:r>
          </w:p>
        </w:tc>
        <w:tc>
          <w:tcPr>
            <w:tcW w:w="1279" w:type="dxa"/>
            <w:vAlign w:val="bottom"/>
          </w:tcPr>
          <w:p w:rsidR="00EB348E" w:rsidRPr="00BE7504" w:rsidRDefault="00EB348E" w:rsidP="006E584A">
            <w:pPr>
              <w:jc w:val="center"/>
              <w:rPr>
                <w:rFonts w:ascii="Calibri" w:hAnsi="Calibri"/>
                <w:sz w:val="18"/>
              </w:rPr>
            </w:pPr>
            <w:r w:rsidRPr="00BE7504">
              <w:rPr>
                <w:rFonts w:ascii="Calibri" w:hAnsi="Calibri"/>
                <w:sz w:val="18"/>
              </w:rPr>
              <w:t>0.71</w:t>
            </w:r>
          </w:p>
        </w:tc>
        <w:tc>
          <w:tcPr>
            <w:tcW w:w="1331" w:type="dxa"/>
            <w:vAlign w:val="bottom"/>
          </w:tcPr>
          <w:p w:rsidR="00EB348E" w:rsidRPr="00BE7504" w:rsidRDefault="00EB348E" w:rsidP="006E584A">
            <w:pPr>
              <w:jc w:val="center"/>
              <w:rPr>
                <w:rFonts w:ascii="Calibri" w:hAnsi="Calibri"/>
                <w:sz w:val="18"/>
              </w:rPr>
            </w:pPr>
            <w:r w:rsidRPr="00BE7504">
              <w:rPr>
                <w:rFonts w:ascii="Calibri" w:hAnsi="Calibri"/>
                <w:sz w:val="18"/>
              </w:rPr>
              <w:t>0.76</w:t>
            </w:r>
          </w:p>
        </w:tc>
      </w:tr>
      <w:tr w:rsidR="00EB348E" w:rsidTr="006E584A">
        <w:tc>
          <w:tcPr>
            <w:tcW w:w="1053" w:type="dxa"/>
            <w:tcBorders>
              <w:bottom w:val="single" w:sz="4" w:space="0" w:color="auto"/>
            </w:tcBorders>
          </w:tcPr>
          <w:p w:rsidR="00EB348E" w:rsidRPr="00140802" w:rsidRDefault="00EB348E" w:rsidP="006E584A">
            <w:pPr>
              <w:pStyle w:val="RoadefTexte"/>
              <w:spacing w:line="276" w:lineRule="auto"/>
              <w:ind w:firstLine="0"/>
              <w:jc w:val="left"/>
              <w:rPr>
                <w:rFonts w:asciiTheme="minorHAnsi" w:hAnsiTheme="minorHAnsi"/>
                <w:b/>
                <w:sz w:val="18"/>
                <w:szCs w:val="18"/>
                <w:lang w:val="en-US"/>
              </w:rPr>
            </w:pPr>
            <w:r w:rsidRPr="00140802">
              <w:rPr>
                <w:rFonts w:asciiTheme="minorHAnsi" w:hAnsiTheme="minorHAnsi"/>
                <w:b/>
                <w:sz w:val="18"/>
                <w:szCs w:val="18"/>
                <w:lang w:val="en-US"/>
              </w:rPr>
              <w:t>s3</w:t>
            </w:r>
          </w:p>
        </w:tc>
        <w:tc>
          <w:tcPr>
            <w:tcW w:w="387" w:type="dxa"/>
            <w:tcBorders>
              <w:bottom w:val="single" w:sz="4" w:space="0" w:color="auto"/>
            </w:tcBorders>
          </w:tcPr>
          <w:p w:rsidR="00EB348E" w:rsidRPr="00BE7504" w:rsidRDefault="00EB348E" w:rsidP="006E584A">
            <w:pPr>
              <w:jc w:val="center"/>
              <w:rPr>
                <w:rFonts w:ascii="Calibri" w:hAnsi="Calibri"/>
                <w:sz w:val="18"/>
              </w:rPr>
            </w:pPr>
          </w:p>
        </w:tc>
        <w:tc>
          <w:tcPr>
            <w:tcW w:w="1800" w:type="dxa"/>
            <w:tcBorders>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0.62</w:t>
            </w:r>
          </w:p>
        </w:tc>
        <w:tc>
          <w:tcPr>
            <w:tcW w:w="1710" w:type="dxa"/>
            <w:tcBorders>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0.78</w:t>
            </w:r>
          </w:p>
        </w:tc>
        <w:tc>
          <w:tcPr>
            <w:tcW w:w="360" w:type="dxa"/>
            <w:tcBorders>
              <w:bottom w:val="single" w:sz="4" w:space="0" w:color="auto"/>
            </w:tcBorders>
          </w:tcPr>
          <w:p w:rsidR="00EB348E" w:rsidRPr="00BE7504" w:rsidRDefault="00EB348E" w:rsidP="006E584A">
            <w:pPr>
              <w:pStyle w:val="RoadefTexte"/>
              <w:spacing w:line="276" w:lineRule="auto"/>
              <w:ind w:firstLine="0"/>
              <w:jc w:val="center"/>
              <w:rPr>
                <w:rFonts w:asciiTheme="minorHAnsi" w:hAnsiTheme="minorHAnsi"/>
                <w:b/>
                <w:sz w:val="18"/>
                <w:lang w:val="en-US"/>
              </w:rPr>
            </w:pPr>
          </w:p>
        </w:tc>
        <w:tc>
          <w:tcPr>
            <w:tcW w:w="1440" w:type="dxa"/>
            <w:tcBorders>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0.67</w:t>
            </w:r>
          </w:p>
        </w:tc>
        <w:tc>
          <w:tcPr>
            <w:tcW w:w="1279" w:type="dxa"/>
            <w:tcBorders>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0.70</w:t>
            </w:r>
          </w:p>
        </w:tc>
        <w:tc>
          <w:tcPr>
            <w:tcW w:w="1331" w:type="dxa"/>
            <w:tcBorders>
              <w:bottom w:val="single" w:sz="4" w:space="0" w:color="auto"/>
            </w:tcBorders>
            <w:vAlign w:val="bottom"/>
          </w:tcPr>
          <w:p w:rsidR="00EB348E" w:rsidRPr="00BE7504" w:rsidRDefault="00EB348E" w:rsidP="006E584A">
            <w:pPr>
              <w:jc w:val="center"/>
              <w:rPr>
                <w:rFonts w:ascii="Calibri" w:hAnsi="Calibri"/>
                <w:sz w:val="18"/>
              </w:rPr>
            </w:pPr>
            <w:r w:rsidRPr="00BE7504">
              <w:rPr>
                <w:rFonts w:ascii="Calibri" w:hAnsi="Calibri"/>
                <w:sz w:val="18"/>
              </w:rPr>
              <w:t>0.7</w:t>
            </w:r>
            <w:r>
              <w:rPr>
                <w:rFonts w:ascii="Calibri" w:hAnsi="Calibri"/>
                <w:sz w:val="18"/>
              </w:rPr>
              <w:t>4</w:t>
            </w:r>
          </w:p>
        </w:tc>
      </w:tr>
    </w:tbl>
    <w:p w:rsidR="0052673B" w:rsidRDefault="0052673B" w:rsidP="00FB20DF">
      <w:pPr>
        <w:pStyle w:val="RoadefTexte"/>
        <w:spacing w:line="276" w:lineRule="auto"/>
        <w:ind w:firstLine="0"/>
        <w:rPr>
          <w:rFonts w:asciiTheme="minorHAnsi" w:eastAsiaTheme="minorHAnsi" w:hAnsiTheme="minorHAnsi" w:cstheme="minorBidi"/>
          <w:lang w:val="en-US"/>
        </w:rPr>
      </w:pPr>
    </w:p>
    <w:p w:rsidR="00407A22" w:rsidRPr="00DA4B35" w:rsidRDefault="0074002E" w:rsidP="00F00EA5">
      <w:pPr>
        <w:pStyle w:val="RoadefTexte"/>
        <w:spacing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T</w:t>
      </w:r>
      <w:r w:rsidR="00EE7D3D">
        <w:rPr>
          <w:rFonts w:asciiTheme="minorHAnsi" w:eastAsiaTheme="minorHAnsi" w:hAnsiTheme="minorHAnsi" w:cstheme="minorBidi"/>
          <w:lang w:val="en-US"/>
        </w:rPr>
        <w:t>he obtained results confi</w:t>
      </w:r>
      <w:r>
        <w:rPr>
          <w:rFonts w:asciiTheme="minorHAnsi" w:eastAsiaTheme="minorHAnsi" w:hAnsiTheme="minorHAnsi" w:cstheme="minorBidi"/>
          <w:lang w:val="en-US"/>
        </w:rPr>
        <w:t>rm</w:t>
      </w:r>
      <w:r w:rsidR="00EE7D3D">
        <w:rPr>
          <w:rFonts w:asciiTheme="minorHAnsi" w:eastAsiaTheme="minorHAnsi" w:hAnsiTheme="minorHAnsi" w:cstheme="minorBidi"/>
          <w:lang w:val="en-US"/>
        </w:rPr>
        <w:t xml:space="preserve"> the remarks drawn and discussed in </w:t>
      </w:r>
      <w:r w:rsidRPr="0074002E">
        <w:rPr>
          <w:rFonts w:asciiTheme="minorHAnsi" w:eastAsiaTheme="minorHAnsi" w:hAnsiTheme="minorHAnsi" w:cstheme="minorBidi"/>
          <w:lang w:val="en-US"/>
        </w:rPr>
        <w:t xml:space="preserve">5.2.2 </w:t>
      </w:r>
      <w:r w:rsidR="00EE7D3D">
        <w:rPr>
          <w:rFonts w:asciiTheme="minorHAnsi" w:eastAsiaTheme="minorHAnsi" w:hAnsiTheme="minorHAnsi" w:cstheme="minorBidi"/>
          <w:lang w:val="en-US"/>
        </w:rPr>
        <w:t xml:space="preserve">concerning the </w:t>
      </w:r>
      <w:r>
        <w:rPr>
          <w:rFonts w:asciiTheme="minorHAnsi" w:eastAsiaTheme="minorHAnsi" w:hAnsiTheme="minorHAnsi" w:cstheme="minorBidi"/>
          <w:lang w:val="en-US"/>
        </w:rPr>
        <w:t>impact</w:t>
      </w:r>
      <w:r w:rsidR="00EE7D3D">
        <w:rPr>
          <w:rFonts w:asciiTheme="minorHAnsi" w:eastAsiaTheme="minorHAnsi" w:hAnsiTheme="minorHAnsi" w:cstheme="minorBidi"/>
          <w:lang w:val="en-US"/>
        </w:rPr>
        <w:t xml:space="preserve"> of the parameter</w:t>
      </w:r>
      <w:r>
        <w:rPr>
          <w:rFonts w:asciiTheme="minorHAnsi" w:eastAsiaTheme="minorHAnsi" w:hAnsiTheme="minorHAnsi" w:cstheme="minorBidi"/>
          <w:lang w:val="en-US"/>
        </w:rPr>
        <w:t>s</w:t>
      </w:r>
      <w:r w:rsidR="00EE7D3D">
        <w:rPr>
          <w:rFonts w:asciiTheme="minorHAnsi" w:eastAsiaTheme="minorHAnsi" w:hAnsiTheme="minorHAnsi" w:cstheme="minorBidi"/>
          <w:lang w:val="en-US"/>
        </w:rPr>
        <w:t xml:space="preserve"> examined</w:t>
      </w:r>
      <w:r>
        <w:rPr>
          <w:rFonts w:asciiTheme="minorHAnsi" w:eastAsiaTheme="minorHAnsi" w:hAnsiTheme="minorHAnsi" w:cstheme="minorBidi"/>
          <w:lang w:val="en-US"/>
        </w:rPr>
        <w:t xml:space="preserve"> on </w:t>
      </w:r>
      <w:r w:rsidR="00B5751A">
        <w:rPr>
          <w:rFonts w:asciiTheme="minorHAnsi" w:eastAsiaTheme="minorHAnsi" w:hAnsiTheme="minorHAnsi" w:cstheme="minorBidi"/>
          <w:lang w:val="en-US"/>
        </w:rPr>
        <w:t>the relative suitability of the cross-docking and direct shipping strategies</w:t>
      </w:r>
      <w:r>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T</w:t>
      </w:r>
      <w:r w:rsidR="00B5751A">
        <w:rPr>
          <w:rFonts w:asciiTheme="minorHAnsi" w:eastAsiaTheme="minorHAnsi" w:hAnsiTheme="minorHAnsi" w:cstheme="minorBidi"/>
          <w:lang w:val="en-US"/>
        </w:rPr>
        <w:t xml:space="preserve">his is illustrated in Figures 9, 10, 11 and </w:t>
      </w:r>
      <w:r w:rsidR="00F00EA5">
        <w:rPr>
          <w:rFonts w:asciiTheme="minorHAnsi" w:eastAsiaTheme="minorHAnsi" w:hAnsiTheme="minorHAnsi" w:cstheme="minorBidi"/>
          <w:lang w:val="en-US"/>
        </w:rPr>
        <w:t xml:space="preserve">12. </w:t>
      </w:r>
      <w:r w:rsidR="00FB20DF">
        <w:rPr>
          <w:rFonts w:asciiTheme="minorHAnsi" w:eastAsiaTheme="minorHAnsi" w:hAnsiTheme="minorHAnsi" w:cstheme="minorBidi"/>
          <w:lang w:val="en-US"/>
        </w:rPr>
        <w:t>Figure 9</w:t>
      </w:r>
      <w:r w:rsidR="00B5751A">
        <w:rPr>
          <w:rFonts w:asciiTheme="minorHAnsi" w:eastAsiaTheme="minorHAnsi" w:hAnsiTheme="minorHAnsi" w:cstheme="minorBidi"/>
          <w:lang w:val="en-US"/>
        </w:rPr>
        <w:t xml:space="preserve"> </w:t>
      </w:r>
      <w:proofErr w:type="gramStart"/>
      <w:r w:rsidR="00B5751A">
        <w:rPr>
          <w:rFonts w:asciiTheme="minorHAnsi" w:eastAsiaTheme="minorHAnsi" w:hAnsiTheme="minorHAnsi" w:cstheme="minorBidi"/>
          <w:lang w:val="en-US"/>
        </w:rPr>
        <w:t>shows</w:t>
      </w:r>
      <w:proofErr w:type="gramEnd"/>
      <w:r w:rsidR="00B5751A">
        <w:rPr>
          <w:rFonts w:asciiTheme="minorHAnsi" w:eastAsiaTheme="minorHAnsi" w:hAnsiTheme="minorHAnsi" w:cstheme="minorBidi"/>
          <w:lang w:val="en-US"/>
        </w:rPr>
        <w:t xml:space="preserve"> that </w:t>
      </w:r>
      <w:r w:rsidR="00FB20DF">
        <w:rPr>
          <w:rFonts w:asciiTheme="minorHAnsi" w:eastAsiaTheme="minorHAnsi" w:hAnsiTheme="minorHAnsi" w:cstheme="minorBidi"/>
          <w:lang w:val="en-US"/>
        </w:rPr>
        <w:t xml:space="preserve">the higher the capacity, the more significant </w:t>
      </w:r>
      <w:r w:rsidR="00B5751A">
        <w:rPr>
          <w:rFonts w:asciiTheme="minorHAnsi" w:eastAsiaTheme="minorHAnsi" w:hAnsiTheme="minorHAnsi" w:cstheme="minorBidi"/>
          <w:lang w:val="en-US"/>
        </w:rPr>
        <w:t xml:space="preserve">is </w:t>
      </w:r>
      <w:r w:rsidR="00FB20DF">
        <w:rPr>
          <w:rFonts w:asciiTheme="minorHAnsi" w:eastAsiaTheme="minorHAnsi" w:hAnsiTheme="minorHAnsi" w:cstheme="minorBidi"/>
          <w:lang w:val="en-US"/>
        </w:rPr>
        <w:t>the improvement of the VRP</w:t>
      </w:r>
      <w:r w:rsidR="00B5751A">
        <w:rPr>
          <w:rFonts w:asciiTheme="minorHAnsi" w:eastAsiaTheme="minorHAnsi" w:hAnsiTheme="minorHAnsi" w:cstheme="minorBidi"/>
          <w:lang w:val="en-US"/>
        </w:rPr>
        <w:t>CD solution scores. Specifically</w:t>
      </w:r>
      <w:r w:rsidR="00FB20DF">
        <w:rPr>
          <w:rFonts w:asciiTheme="minorHAnsi" w:eastAsiaTheme="minorHAnsi" w:hAnsiTheme="minorHAnsi" w:cstheme="minorBidi"/>
          <w:lang w:val="en-US"/>
        </w:rPr>
        <w:t xml:space="preserve">, for all </w:t>
      </w:r>
      <w:r w:rsidR="00B5751A">
        <w:rPr>
          <w:rFonts w:asciiTheme="minorHAnsi" w:eastAsiaTheme="minorHAnsi" w:hAnsiTheme="minorHAnsi" w:cstheme="minorBidi"/>
          <w:lang w:val="en-US"/>
        </w:rPr>
        <w:t xml:space="preserve">problem </w:t>
      </w:r>
      <w:r w:rsidR="00FB20DF">
        <w:rPr>
          <w:rFonts w:asciiTheme="minorHAnsi" w:eastAsiaTheme="minorHAnsi" w:hAnsiTheme="minorHAnsi" w:cstheme="minorBidi"/>
          <w:lang w:val="en-US"/>
        </w:rPr>
        <w:t xml:space="preserve">instances </w:t>
      </w:r>
      <w:r w:rsidR="00FB20DF" w:rsidRPr="002A154E">
        <w:rPr>
          <w:rFonts w:asciiTheme="minorHAnsi" w:eastAsiaTheme="minorHAnsi" w:hAnsiTheme="minorHAnsi" w:cstheme="minorBidi"/>
          <w:lang w:val="en-US"/>
        </w:rPr>
        <w:t>(</w:t>
      </w:r>
      <w:r w:rsidR="00FB20DF">
        <w:rPr>
          <w:rFonts w:asciiTheme="minorHAnsi" w:eastAsiaTheme="minorHAnsi" w:hAnsiTheme="minorHAnsi" w:cstheme="minorBidi"/>
          <w:lang w:val="en-US"/>
        </w:rPr>
        <w:t>both distribution classes and all three demand density classes</w:t>
      </w:r>
      <w:r w:rsidR="00FB20DF" w:rsidRPr="002A154E">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 xml:space="preserve">the </w:t>
      </w:r>
      <w:r w:rsidR="00FB20DF" w:rsidRPr="00FB20DF">
        <w:rPr>
          <w:rFonts w:asciiTheme="minorHAnsi" w:eastAsiaTheme="minorHAnsi" w:hAnsiTheme="minorHAnsi" w:cstheme="minorBidi"/>
          <w:i/>
          <w:lang w:val="el-GR"/>
        </w:rPr>
        <w:t>λ</w:t>
      </w:r>
      <w:r w:rsidR="00FB20DF" w:rsidRPr="002A154E">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 xml:space="preserve">value increments from </w:t>
      </w:r>
      <w:r w:rsidR="00231EEF">
        <w:rPr>
          <w:rFonts w:asciiTheme="minorHAnsi" w:eastAsiaTheme="minorHAnsi" w:hAnsiTheme="minorHAnsi" w:cstheme="minorBidi"/>
          <w:lang w:val="en-US"/>
        </w:rPr>
        <w:t>0.69</w:t>
      </w:r>
      <w:r w:rsidR="00FB20DF">
        <w:rPr>
          <w:rFonts w:asciiTheme="minorHAnsi" w:eastAsiaTheme="minorHAnsi" w:hAnsiTheme="minorHAnsi" w:cstheme="minorBidi"/>
          <w:lang w:val="en-US"/>
        </w:rPr>
        <w:t xml:space="preserve"> to </w:t>
      </w:r>
      <w:r w:rsidR="00231EEF">
        <w:rPr>
          <w:rFonts w:asciiTheme="minorHAnsi" w:eastAsiaTheme="minorHAnsi" w:hAnsiTheme="minorHAnsi" w:cstheme="minorBidi"/>
          <w:lang w:val="en-US"/>
        </w:rPr>
        <w:t>0.73</w:t>
      </w:r>
      <w:r w:rsidR="00FB20DF">
        <w:rPr>
          <w:rFonts w:asciiTheme="minorHAnsi" w:eastAsiaTheme="minorHAnsi" w:hAnsiTheme="minorHAnsi" w:cstheme="minorBidi"/>
          <w:lang w:val="en-US"/>
        </w:rPr>
        <w:t xml:space="preserve">, when moving from </w:t>
      </w:r>
      <w:r w:rsidR="00FB20DF" w:rsidRPr="00E55549">
        <w:rPr>
          <w:rFonts w:asciiTheme="minorHAnsi" w:eastAsiaTheme="minorHAnsi" w:hAnsiTheme="minorHAnsi" w:cstheme="minorBidi"/>
          <w:i/>
          <w:lang w:val="en-US"/>
        </w:rPr>
        <w:t>Q1</w:t>
      </w:r>
      <w:r w:rsidR="00FB20DF">
        <w:rPr>
          <w:rFonts w:asciiTheme="minorHAnsi" w:eastAsiaTheme="minorHAnsi" w:hAnsiTheme="minorHAnsi" w:cstheme="minorBidi"/>
          <w:lang w:val="en-US"/>
        </w:rPr>
        <w:t xml:space="preserve"> to </w:t>
      </w:r>
      <w:r w:rsidR="00FB20DF" w:rsidRPr="00E55549">
        <w:rPr>
          <w:rFonts w:asciiTheme="minorHAnsi" w:eastAsiaTheme="minorHAnsi" w:hAnsiTheme="minorHAnsi" w:cstheme="minorBidi"/>
          <w:i/>
          <w:lang w:val="en-US"/>
        </w:rPr>
        <w:t>Q3</w:t>
      </w:r>
      <w:r w:rsidR="00231EEF">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 xml:space="preserve">Figure 10 illustrates a non-monotonic impact of the route duration limit on the relative </w:t>
      </w:r>
      <w:r w:rsidR="00B5751A">
        <w:rPr>
          <w:rFonts w:asciiTheme="minorHAnsi" w:eastAsiaTheme="minorHAnsi" w:hAnsiTheme="minorHAnsi" w:cstheme="minorBidi"/>
          <w:lang w:val="en-US"/>
        </w:rPr>
        <w:t>performance</w:t>
      </w:r>
      <w:r w:rsidR="00FB20DF">
        <w:rPr>
          <w:rFonts w:asciiTheme="minorHAnsi" w:eastAsiaTheme="minorHAnsi" w:hAnsiTheme="minorHAnsi" w:cstheme="minorBidi"/>
          <w:lang w:val="en-US"/>
        </w:rPr>
        <w:t xml:space="preserve"> ratio </w:t>
      </w:r>
      <w:r w:rsidR="00FB20DF" w:rsidRPr="00D6542C">
        <w:rPr>
          <w:rFonts w:asciiTheme="minorHAnsi" w:eastAsiaTheme="minorHAnsi" w:hAnsiTheme="minorHAnsi" w:cstheme="minorBidi"/>
          <w:i/>
          <w:lang w:val="el-GR"/>
        </w:rPr>
        <w:t>λ</w:t>
      </w:r>
      <w:r w:rsidR="00FB20DF">
        <w:rPr>
          <w:rFonts w:asciiTheme="minorHAnsi" w:eastAsiaTheme="minorHAnsi" w:hAnsiTheme="minorHAnsi" w:cstheme="minorBidi"/>
          <w:lang w:val="en-US"/>
        </w:rPr>
        <w:t xml:space="preserve">. This behavior is attributed on the interplay of the capacity and route duration constraints analyzed in </w:t>
      </w:r>
      <w:r w:rsidR="00902B4C">
        <w:rPr>
          <w:rFonts w:asciiTheme="minorHAnsi" w:eastAsiaTheme="minorHAnsi" w:hAnsiTheme="minorHAnsi" w:cstheme="minorBidi"/>
          <w:lang w:val="en-US"/>
        </w:rPr>
        <w:t>5.2.2</w:t>
      </w:r>
      <w:r w:rsidR="00FB20DF">
        <w:rPr>
          <w:rFonts w:asciiTheme="minorHAnsi" w:eastAsiaTheme="minorHAnsi" w:hAnsiTheme="minorHAnsi" w:cstheme="minorBidi"/>
          <w:lang w:val="en-US"/>
        </w:rPr>
        <w:t xml:space="preserve">. </w:t>
      </w:r>
      <w:r w:rsidR="00FB20DF">
        <w:rPr>
          <w:rFonts w:asciiTheme="minorHAnsi" w:hAnsiTheme="minorHAnsi"/>
          <w:lang w:val="en-US"/>
        </w:rPr>
        <w:t xml:space="preserve">In the first phase (moving from </w:t>
      </w:r>
      <w:r w:rsidR="00FB20DF" w:rsidRPr="00E55549">
        <w:rPr>
          <w:rFonts w:asciiTheme="minorHAnsi" w:hAnsiTheme="minorHAnsi"/>
          <w:i/>
          <w:lang w:val="en-US"/>
        </w:rPr>
        <w:t>T1</w:t>
      </w:r>
      <w:r w:rsidR="00FB20DF">
        <w:rPr>
          <w:rFonts w:asciiTheme="minorHAnsi" w:hAnsiTheme="minorHAnsi"/>
          <w:lang w:val="en-US"/>
        </w:rPr>
        <w:t xml:space="preserve"> to </w:t>
      </w:r>
      <w:r w:rsidR="00FB20DF" w:rsidRPr="00E55549">
        <w:rPr>
          <w:rFonts w:asciiTheme="minorHAnsi" w:hAnsiTheme="minorHAnsi"/>
          <w:i/>
          <w:lang w:val="en-US"/>
        </w:rPr>
        <w:t>T2</w:t>
      </w:r>
      <w:r w:rsidR="00FB20DF">
        <w:rPr>
          <w:rFonts w:asciiTheme="minorHAnsi" w:hAnsiTheme="minorHAnsi"/>
          <w:lang w:val="en-US"/>
        </w:rPr>
        <w:t xml:space="preserve">), the </w:t>
      </w:r>
      <w:r w:rsidR="00FB20DF" w:rsidRPr="00386BE7">
        <w:rPr>
          <w:rFonts w:asciiTheme="minorHAnsi" w:hAnsiTheme="minorHAnsi"/>
          <w:i/>
          <w:lang w:val="el-GR"/>
        </w:rPr>
        <w:t>λ</w:t>
      </w:r>
      <w:r w:rsidR="00FB20DF">
        <w:rPr>
          <w:rFonts w:asciiTheme="minorHAnsi" w:hAnsiTheme="minorHAnsi"/>
          <w:lang w:val="en-US"/>
        </w:rPr>
        <w:t xml:space="preserve"> ratio increases, implying that VRPCD is capable of gaining larger cost savings. In the second </w:t>
      </w:r>
      <w:r w:rsidR="00B5751A">
        <w:rPr>
          <w:rFonts w:asciiTheme="minorHAnsi" w:hAnsiTheme="minorHAnsi"/>
          <w:lang w:val="en-US"/>
        </w:rPr>
        <w:t>phase, this picture is reversed;</w:t>
      </w:r>
      <w:r w:rsidR="00FB20DF">
        <w:rPr>
          <w:rFonts w:asciiTheme="minorHAnsi" w:hAnsiTheme="minorHAnsi"/>
          <w:lang w:val="en-US"/>
        </w:rPr>
        <w:t xml:space="preserve"> additional increase of the </w:t>
      </w:r>
      <w:r w:rsidR="00FB20DF" w:rsidRPr="00AA7FB2">
        <w:rPr>
          <w:rFonts w:asciiTheme="minorHAnsi" w:hAnsiTheme="minorHAnsi"/>
          <w:i/>
          <w:lang w:val="en-US"/>
        </w:rPr>
        <w:t>T</w:t>
      </w:r>
      <w:r w:rsidR="00FB20DF">
        <w:rPr>
          <w:rFonts w:asciiTheme="minorHAnsi" w:hAnsiTheme="minorHAnsi"/>
          <w:lang w:val="en-US"/>
        </w:rPr>
        <w:t xml:space="preserve"> value (from </w:t>
      </w:r>
      <w:r w:rsidR="00FB20DF" w:rsidRPr="00E55549">
        <w:rPr>
          <w:rFonts w:asciiTheme="minorHAnsi" w:hAnsiTheme="minorHAnsi"/>
          <w:i/>
          <w:lang w:val="en-US"/>
        </w:rPr>
        <w:t>T2</w:t>
      </w:r>
      <w:r w:rsidR="00FB20DF">
        <w:rPr>
          <w:rFonts w:asciiTheme="minorHAnsi" w:hAnsiTheme="minorHAnsi"/>
          <w:lang w:val="en-US"/>
        </w:rPr>
        <w:t xml:space="preserve"> to </w:t>
      </w:r>
      <w:r w:rsidR="00FB20DF" w:rsidRPr="00E55549">
        <w:rPr>
          <w:rFonts w:asciiTheme="minorHAnsi" w:hAnsiTheme="minorHAnsi"/>
          <w:i/>
          <w:lang w:val="en-US"/>
        </w:rPr>
        <w:t>T3</w:t>
      </w:r>
      <w:r w:rsidR="00FB20DF">
        <w:rPr>
          <w:rFonts w:asciiTheme="minorHAnsi" w:hAnsiTheme="minorHAnsi"/>
          <w:lang w:val="en-US"/>
        </w:rPr>
        <w:t xml:space="preserve">) has an almost insignificant impact on the VRPCD solution objective, because the capacity constraints are binding and define the shape of the VRPCD routes. On the contrary, the </w:t>
      </w:r>
      <w:r w:rsidR="00B5751A">
        <w:rPr>
          <w:rFonts w:asciiTheme="minorHAnsi" w:hAnsiTheme="minorHAnsi"/>
          <w:lang w:val="en-US"/>
        </w:rPr>
        <w:t xml:space="preserve">direct shipping strategy </w:t>
      </w:r>
      <w:r w:rsidR="00FB20DF">
        <w:rPr>
          <w:rFonts w:asciiTheme="minorHAnsi" w:hAnsiTheme="minorHAnsi"/>
          <w:lang w:val="en-US"/>
        </w:rPr>
        <w:t xml:space="preserve">is capable of taking full advantage of the </w:t>
      </w:r>
      <w:r w:rsidR="00FB20DF" w:rsidRPr="00B27F20">
        <w:rPr>
          <w:rFonts w:asciiTheme="minorHAnsi" w:hAnsiTheme="minorHAnsi"/>
          <w:i/>
          <w:lang w:val="en-US"/>
        </w:rPr>
        <w:t>T</w:t>
      </w:r>
      <w:r w:rsidR="00FB20DF">
        <w:rPr>
          <w:rFonts w:asciiTheme="minorHAnsi" w:hAnsiTheme="minorHAnsi"/>
          <w:lang w:val="en-US"/>
        </w:rPr>
        <w:t xml:space="preserve"> increase, because the carrying load fluctuates along the PDP routes, so that the impact of the capacity constraints on the PDP solution shape is weaker. </w:t>
      </w:r>
      <w:r w:rsidR="00FB20DF">
        <w:rPr>
          <w:rFonts w:asciiTheme="minorHAnsi" w:eastAsiaTheme="minorHAnsi" w:hAnsiTheme="minorHAnsi" w:cstheme="minorBidi"/>
          <w:lang w:val="en-US"/>
        </w:rPr>
        <w:t xml:space="preserve">The depot location impact is shown in Figure 11. We observe that </w:t>
      </w:r>
      <w:r w:rsidR="00FB20DF" w:rsidRPr="007D1467">
        <w:rPr>
          <w:rFonts w:asciiTheme="minorHAnsi" w:eastAsiaTheme="minorHAnsi" w:hAnsiTheme="minorHAnsi" w:cstheme="minorBidi"/>
          <w:i/>
          <w:lang w:val="el-GR"/>
        </w:rPr>
        <w:t>λ</w:t>
      </w:r>
      <w:r w:rsidR="00FB20DF" w:rsidRPr="009F37B5">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strongly d</w:t>
      </w:r>
      <w:r w:rsidR="00B5751A">
        <w:rPr>
          <w:rFonts w:asciiTheme="minorHAnsi" w:eastAsiaTheme="minorHAnsi" w:hAnsiTheme="minorHAnsi" w:cstheme="minorBidi"/>
          <w:lang w:val="en-US"/>
        </w:rPr>
        <w:t>epends on the depot positioning. In fact,</w:t>
      </w:r>
      <w:r w:rsidR="00FB20DF">
        <w:rPr>
          <w:rFonts w:asciiTheme="minorHAnsi" w:eastAsiaTheme="minorHAnsi" w:hAnsiTheme="minorHAnsi" w:cstheme="minorBidi"/>
          <w:lang w:val="en-US"/>
        </w:rPr>
        <w:t xml:space="preserve"> locating the depot in central positions of the examined region favors the cross-docking strategy, whereas installing the depot in more remote positions has a positive effect on the direct shipping </w:t>
      </w:r>
      <w:r w:rsidR="00B5751A">
        <w:rPr>
          <w:rFonts w:asciiTheme="minorHAnsi" w:eastAsiaTheme="minorHAnsi" w:hAnsiTheme="minorHAnsi" w:cstheme="minorBidi"/>
          <w:lang w:val="en-US"/>
        </w:rPr>
        <w:t>strategy</w:t>
      </w:r>
      <w:r w:rsidR="00FB20DF">
        <w:rPr>
          <w:rFonts w:asciiTheme="minorHAnsi" w:eastAsiaTheme="minorHAnsi" w:hAnsiTheme="minorHAnsi" w:cstheme="minorBidi"/>
          <w:lang w:val="en-US"/>
        </w:rPr>
        <w:t xml:space="preserve">. </w:t>
      </w:r>
      <w:r w:rsidR="006A0571">
        <w:rPr>
          <w:rFonts w:asciiTheme="minorHAnsi" w:eastAsiaTheme="minorHAnsi" w:hAnsiTheme="minorHAnsi" w:cstheme="minorBidi"/>
          <w:lang w:val="en-US"/>
        </w:rPr>
        <w:t xml:space="preserve">Note, </w:t>
      </w:r>
      <w:r w:rsidR="00130EB4">
        <w:rPr>
          <w:rFonts w:asciiTheme="minorHAnsi" w:eastAsiaTheme="minorHAnsi" w:hAnsiTheme="minorHAnsi" w:cstheme="minorBidi"/>
          <w:lang w:val="en-US"/>
        </w:rPr>
        <w:t xml:space="preserve">for the </w:t>
      </w:r>
      <w:r w:rsidR="00130EB4" w:rsidRPr="00E55549">
        <w:rPr>
          <w:rFonts w:asciiTheme="minorHAnsi" w:eastAsiaTheme="minorHAnsi" w:hAnsiTheme="minorHAnsi" w:cstheme="minorBidi"/>
          <w:i/>
          <w:lang w:val="en-US"/>
        </w:rPr>
        <w:t>C</w:t>
      </w:r>
      <w:r w:rsidR="00130EB4">
        <w:rPr>
          <w:rFonts w:asciiTheme="minorHAnsi" w:eastAsiaTheme="minorHAnsi" w:hAnsiTheme="minorHAnsi" w:cstheme="minorBidi"/>
          <w:lang w:val="en-US"/>
        </w:rPr>
        <w:t xml:space="preserve"> and </w:t>
      </w:r>
      <w:r w:rsidR="00130EB4" w:rsidRPr="00E55549">
        <w:rPr>
          <w:rFonts w:asciiTheme="minorHAnsi" w:eastAsiaTheme="minorHAnsi" w:hAnsiTheme="minorHAnsi" w:cstheme="minorBidi"/>
          <w:i/>
          <w:lang w:val="en-US"/>
        </w:rPr>
        <w:t>DM3</w:t>
      </w:r>
      <w:r w:rsidR="00130EB4">
        <w:rPr>
          <w:rFonts w:asciiTheme="minorHAnsi" w:eastAsiaTheme="minorHAnsi" w:hAnsiTheme="minorHAnsi" w:cstheme="minorBidi"/>
          <w:lang w:val="en-US"/>
        </w:rPr>
        <w:t xml:space="preserve"> classes and for the </w:t>
      </w:r>
      <w:r w:rsidR="00130EB4" w:rsidRPr="00E55549">
        <w:rPr>
          <w:rFonts w:asciiTheme="minorHAnsi" w:eastAsiaTheme="minorHAnsi" w:hAnsiTheme="minorHAnsi" w:cstheme="minorBidi"/>
          <w:i/>
          <w:lang w:val="en-US"/>
        </w:rPr>
        <w:t>D1</w:t>
      </w:r>
      <w:r w:rsidR="00130EB4">
        <w:rPr>
          <w:rFonts w:asciiTheme="minorHAnsi" w:eastAsiaTheme="minorHAnsi" w:hAnsiTheme="minorHAnsi" w:cstheme="minorBidi"/>
          <w:lang w:val="en-US"/>
        </w:rPr>
        <w:t xml:space="preserve"> </w:t>
      </w:r>
      <w:r w:rsidR="00B5751A">
        <w:rPr>
          <w:rFonts w:asciiTheme="minorHAnsi" w:eastAsiaTheme="minorHAnsi" w:hAnsiTheme="minorHAnsi" w:cstheme="minorBidi"/>
          <w:lang w:val="en-US"/>
        </w:rPr>
        <w:t>level</w:t>
      </w:r>
      <w:r w:rsidR="00130EB4">
        <w:rPr>
          <w:rFonts w:asciiTheme="minorHAnsi" w:eastAsiaTheme="minorHAnsi" w:hAnsiTheme="minorHAnsi" w:cstheme="minorBidi"/>
          <w:lang w:val="en-US"/>
        </w:rPr>
        <w:t>, the performance of the cross-docking strategy is better than the direct-shipping</w:t>
      </w:r>
      <w:r w:rsidR="00B5751A">
        <w:rPr>
          <w:rFonts w:asciiTheme="minorHAnsi" w:eastAsiaTheme="minorHAnsi" w:hAnsiTheme="minorHAnsi" w:cstheme="minorBidi"/>
          <w:lang w:val="en-US"/>
        </w:rPr>
        <w:t>.</w:t>
      </w:r>
      <w:r w:rsidR="00130EB4">
        <w:rPr>
          <w:rFonts w:asciiTheme="minorHAnsi" w:eastAsiaTheme="minorHAnsi" w:hAnsiTheme="minorHAnsi" w:cstheme="minorBidi"/>
          <w:lang w:val="en-US"/>
        </w:rPr>
        <w:t xml:space="preserve"> </w:t>
      </w:r>
      <w:r w:rsidR="00FB20DF">
        <w:rPr>
          <w:rFonts w:asciiTheme="minorHAnsi" w:eastAsiaTheme="minorHAnsi" w:hAnsiTheme="minorHAnsi" w:cstheme="minorBidi"/>
          <w:lang w:val="en-US"/>
        </w:rPr>
        <w:t xml:space="preserve">Finally, as </w:t>
      </w:r>
      <w:r w:rsidR="00407A22">
        <w:rPr>
          <w:rFonts w:asciiTheme="minorHAnsi" w:eastAsiaTheme="minorHAnsi" w:hAnsiTheme="minorHAnsi" w:cstheme="minorBidi"/>
          <w:lang w:val="en-US"/>
        </w:rPr>
        <w:t xml:space="preserve">graphically </w:t>
      </w:r>
      <w:r w:rsidR="00FB20DF">
        <w:rPr>
          <w:rFonts w:asciiTheme="minorHAnsi" w:eastAsiaTheme="minorHAnsi" w:hAnsiTheme="minorHAnsi" w:cstheme="minorBidi"/>
          <w:lang w:val="en-US"/>
        </w:rPr>
        <w:t>shown in Figure 12, the more time required for the consolidation operations, the lower the co</w:t>
      </w:r>
      <w:r w:rsidR="00B5751A">
        <w:rPr>
          <w:rFonts w:asciiTheme="minorHAnsi" w:eastAsiaTheme="minorHAnsi" w:hAnsiTheme="minorHAnsi" w:cstheme="minorBidi"/>
          <w:lang w:val="en-US"/>
        </w:rPr>
        <w:t>mpetitiveness of the cross-docking strategy</w:t>
      </w:r>
      <w:r w:rsidR="00FB20DF">
        <w:rPr>
          <w:rFonts w:asciiTheme="minorHAnsi" w:eastAsiaTheme="minorHAnsi" w:hAnsiTheme="minorHAnsi" w:cstheme="minorBidi"/>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759"/>
      </w:tblGrid>
      <w:tr w:rsidR="00CF64D9" w:rsidTr="00DA4B35">
        <w:tc>
          <w:tcPr>
            <w:tcW w:w="4675" w:type="dxa"/>
          </w:tcPr>
          <w:p w:rsidR="00CF64D9" w:rsidRDefault="00CF64D9" w:rsidP="00CF64D9">
            <w:pPr>
              <w:pStyle w:val="RoadefTexte"/>
              <w:tabs>
                <w:tab w:val="left" w:pos="0"/>
              </w:tabs>
              <w:spacing w:line="276" w:lineRule="auto"/>
              <w:ind w:firstLine="0"/>
              <w:rPr>
                <w:rFonts w:asciiTheme="minorHAnsi" w:hAnsiTheme="minorHAnsi"/>
                <w:lang w:val="en-US"/>
              </w:rPr>
            </w:pPr>
            <w:r w:rsidRPr="00415119">
              <w:rPr>
                <w:rFonts w:asciiTheme="minorHAnsi" w:hAnsiTheme="minorHAnsi"/>
                <w:noProof/>
                <w:lang w:val="en-US"/>
              </w:rPr>
              <w:lastRenderedPageBreak/>
              <w:drawing>
                <wp:inline distT="0" distB="0" distL="0" distR="0">
                  <wp:extent cx="2884487" cy="2447925"/>
                  <wp:effectExtent l="0" t="0" r="0" b="0"/>
                  <wp:docPr id="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5" w:type="dxa"/>
          </w:tcPr>
          <w:p w:rsidR="00CF64D9" w:rsidRPr="00B51397" w:rsidRDefault="00CF64D9" w:rsidP="00CF64D9">
            <w:pPr>
              <w:pStyle w:val="RoadefTexte"/>
              <w:tabs>
                <w:tab w:val="left" w:pos="0"/>
              </w:tabs>
              <w:ind w:firstLine="0"/>
              <w:rPr>
                <w:rFonts w:asciiTheme="minorHAnsi" w:hAnsiTheme="minorHAnsi"/>
                <w:b/>
                <w:sz w:val="18"/>
                <w:lang w:val="en-US"/>
              </w:rPr>
            </w:pPr>
            <w:r w:rsidRPr="00415119">
              <w:rPr>
                <w:rFonts w:asciiTheme="minorHAnsi" w:hAnsiTheme="minorHAnsi"/>
                <w:b/>
                <w:noProof/>
                <w:sz w:val="18"/>
                <w:lang w:val="en-US"/>
              </w:rPr>
              <w:drawing>
                <wp:inline distT="0" distB="0" distL="0" distR="0">
                  <wp:extent cx="2884487" cy="2447925"/>
                  <wp:effectExtent l="0" t="0" r="0" b="0"/>
                  <wp:docPr id="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BD3852" w:rsidRPr="00F722F5" w:rsidRDefault="00CF64D9" w:rsidP="00F722F5">
      <w:pPr>
        <w:pStyle w:val="RoadefTexte"/>
        <w:tabs>
          <w:tab w:val="left" w:pos="0"/>
        </w:tabs>
        <w:spacing w:line="276" w:lineRule="auto"/>
        <w:jc w:val="center"/>
        <w:rPr>
          <w:rFonts w:asciiTheme="minorHAnsi" w:hAnsiTheme="minorHAnsi"/>
          <w:sz w:val="20"/>
          <w:lang w:val="en-US"/>
        </w:rPr>
      </w:pPr>
      <w:proofErr w:type="gramStart"/>
      <w:r w:rsidRPr="00BD3852">
        <w:rPr>
          <w:rFonts w:asciiTheme="minorHAnsi" w:hAnsiTheme="minorHAnsi"/>
          <w:b/>
          <w:sz w:val="20"/>
          <w:lang w:val="en-US"/>
        </w:rPr>
        <w:t>Figure 9.</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 xml:space="preserve">Impact of </w:t>
      </w:r>
      <w:r w:rsidRPr="00BD3852">
        <w:rPr>
          <w:rFonts w:asciiTheme="minorHAnsi" w:hAnsiTheme="minorHAnsi"/>
          <w:sz w:val="20"/>
          <w:lang w:val="en-US"/>
        </w:rPr>
        <w:t>the vehicle capacity on the relative</w:t>
      </w:r>
      <w:r w:rsidRPr="00BD3852">
        <w:rPr>
          <w:rFonts w:asciiTheme="minorHAnsi" w:hAnsiTheme="minorHAnsi"/>
          <w:bCs/>
          <w:sz w:val="20"/>
          <w:lang w:val="en-US"/>
        </w:rPr>
        <w:t xml:space="preser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759"/>
      </w:tblGrid>
      <w:tr w:rsidR="004F4070" w:rsidTr="00DA4B35">
        <w:tc>
          <w:tcPr>
            <w:tcW w:w="4759" w:type="dxa"/>
          </w:tcPr>
          <w:p w:rsidR="004F4070" w:rsidRPr="00127522" w:rsidRDefault="004F4070" w:rsidP="002C4739">
            <w:pPr>
              <w:pStyle w:val="RoadefTexte"/>
              <w:tabs>
                <w:tab w:val="left" w:pos="0"/>
              </w:tabs>
              <w:spacing w:line="276" w:lineRule="auto"/>
              <w:ind w:firstLine="0"/>
              <w:rPr>
                <w:rFonts w:asciiTheme="minorHAnsi" w:hAnsiTheme="minorHAnsi"/>
                <w:lang w:val="en-US"/>
              </w:rPr>
            </w:pPr>
            <w:r w:rsidRPr="00415119">
              <w:rPr>
                <w:rFonts w:asciiTheme="minorHAnsi" w:hAnsiTheme="minorHAnsi"/>
                <w:noProof/>
                <w:lang w:val="en-US"/>
              </w:rPr>
              <w:drawing>
                <wp:inline distT="0" distB="0" distL="0" distR="0">
                  <wp:extent cx="2884487" cy="2447925"/>
                  <wp:effectExtent l="0" t="0" r="0" b="0"/>
                  <wp:docPr id="5"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759" w:type="dxa"/>
          </w:tcPr>
          <w:p w:rsidR="004F4070" w:rsidRPr="006D3F45" w:rsidRDefault="004F4070" w:rsidP="002C4739">
            <w:pPr>
              <w:pStyle w:val="RoadefTexte"/>
              <w:tabs>
                <w:tab w:val="left" w:pos="0"/>
              </w:tabs>
              <w:spacing w:line="276" w:lineRule="auto"/>
              <w:ind w:firstLine="0"/>
              <w:rPr>
                <w:rFonts w:asciiTheme="minorHAnsi" w:hAnsiTheme="minorHAnsi"/>
                <w:lang w:val="en-US"/>
              </w:rPr>
            </w:pPr>
            <w:r w:rsidRPr="00415119">
              <w:rPr>
                <w:rFonts w:asciiTheme="minorHAnsi" w:hAnsiTheme="minorHAnsi"/>
                <w:noProof/>
                <w:lang w:val="en-US"/>
              </w:rPr>
              <w:drawing>
                <wp:inline distT="0" distB="0" distL="0" distR="0">
                  <wp:extent cx="2884487" cy="2447925"/>
                  <wp:effectExtent l="0" t="0" r="0" b="0"/>
                  <wp:docPr id="7"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4F4070" w:rsidRDefault="004F4070" w:rsidP="00BD3852">
      <w:pPr>
        <w:pStyle w:val="RoadefTexte"/>
        <w:tabs>
          <w:tab w:val="left" w:pos="0"/>
        </w:tabs>
        <w:spacing w:line="276" w:lineRule="auto"/>
        <w:jc w:val="center"/>
        <w:rPr>
          <w:rFonts w:asciiTheme="minorHAnsi" w:hAnsiTheme="minorHAnsi"/>
          <w:sz w:val="20"/>
          <w:lang w:val="en-US"/>
        </w:rPr>
      </w:pPr>
      <w:proofErr w:type="gramStart"/>
      <w:r w:rsidRPr="00BD3852">
        <w:rPr>
          <w:rFonts w:asciiTheme="minorHAnsi" w:hAnsiTheme="minorHAnsi"/>
          <w:b/>
          <w:sz w:val="20"/>
          <w:lang w:val="en-US"/>
        </w:rPr>
        <w:t>Figure 10</w:t>
      </w:r>
      <w:r w:rsidRPr="00BD3852">
        <w:rPr>
          <w:rFonts w:asciiTheme="minorHAnsi" w:hAnsiTheme="minorHAnsi"/>
          <w:sz w:val="20"/>
          <w:lang w:val="en-US"/>
        </w:rPr>
        <w:t>.</w:t>
      </w:r>
      <w:proofErr w:type="gramEnd"/>
      <w:r w:rsidRPr="00BD3852">
        <w:rPr>
          <w:rFonts w:asciiTheme="minorHAnsi" w:hAnsiTheme="minorHAnsi"/>
          <w:sz w:val="20"/>
          <w:lang w:val="en-US"/>
        </w:rPr>
        <w:t xml:space="preserve"> </w:t>
      </w:r>
      <w:r w:rsidRPr="00BD3852">
        <w:rPr>
          <w:rFonts w:asciiTheme="minorHAnsi" w:hAnsiTheme="minorHAnsi"/>
          <w:bCs/>
          <w:sz w:val="20"/>
          <w:lang w:val="en-US"/>
        </w:rPr>
        <w:t xml:space="preserve">Impact of </w:t>
      </w:r>
      <w:r w:rsidRPr="00BD3852">
        <w:rPr>
          <w:rFonts w:asciiTheme="minorHAnsi" w:hAnsiTheme="minorHAnsi"/>
          <w:sz w:val="20"/>
          <w:lang w:val="en-US"/>
        </w:rPr>
        <w:t>the route duration on the relative</w:t>
      </w:r>
      <w:r w:rsidRPr="00BD3852">
        <w:rPr>
          <w:rFonts w:asciiTheme="minorHAnsi" w:hAnsiTheme="minorHAnsi"/>
          <w:bCs/>
          <w:sz w:val="20"/>
          <w:lang w:val="en-US"/>
        </w:rPr>
        <w:t xml:space="preser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II</w:t>
      </w:r>
    </w:p>
    <w:p w:rsidR="00BD3852" w:rsidRPr="00BD3852" w:rsidRDefault="00BD3852" w:rsidP="00BD3852">
      <w:pPr>
        <w:pStyle w:val="RoadefTexte"/>
        <w:tabs>
          <w:tab w:val="left" w:pos="0"/>
        </w:tabs>
        <w:spacing w:line="276" w:lineRule="auto"/>
        <w:jc w:val="center"/>
        <w:rPr>
          <w:rFonts w:asciiTheme="minorHAnsi" w:hAnsiTheme="minorHAnsi"/>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4644"/>
      </w:tblGrid>
      <w:tr w:rsidR="004F4070" w:rsidTr="00DA4B35">
        <w:tc>
          <w:tcPr>
            <w:tcW w:w="4788" w:type="dxa"/>
          </w:tcPr>
          <w:p w:rsidR="004F4070" w:rsidRPr="00E50C69" w:rsidRDefault="004F4070" w:rsidP="002C4739">
            <w:pPr>
              <w:pStyle w:val="RoadefTexte"/>
              <w:tabs>
                <w:tab w:val="left" w:pos="0"/>
              </w:tabs>
              <w:spacing w:line="276" w:lineRule="auto"/>
              <w:ind w:firstLine="0"/>
              <w:rPr>
                <w:rFonts w:asciiTheme="minorHAnsi" w:hAnsiTheme="minorHAnsi"/>
                <w:b/>
                <w:sz w:val="18"/>
              </w:rPr>
            </w:pPr>
            <w:r w:rsidRPr="00415119">
              <w:rPr>
                <w:rFonts w:asciiTheme="minorHAnsi" w:hAnsiTheme="minorHAnsi"/>
                <w:b/>
                <w:noProof/>
                <w:sz w:val="18"/>
                <w:lang w:val="en-US"/>
              </w:rPr>
              <w:lastRenderedPageBreak/>
              <w:drawing>
                <wp:inline distT="0" distB="0" distL="0" distR="0">
                  <wp:extent cx="2884487" cy="2447925"/>
                  <wp:effectExtent l="0" t="0" r="0" b="0"/>
                  <wp:docPr id="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44" w:type="dxa"/>
          </w:tcPr>
          <w:p w:rsidR="004F4070" w:rsidRPr="00E50C69" w:rsidRDefault="004F4070" w:rsidP="002C4739">
            <w:pPr>
              <w:pStyle w:val="RoadefTexte"/>
              <w:tabs>
                <w:tab w:val="left" w:pos="0"/>
              </w:tabs>
              <w:ind w:firstLine="0"/>
              <w:rPr>
                <w:rFonts w:asciiTheme="minorHAnsi" w:hAnsiTheme="minorHAnsi"/>
                <w:b/>
                <w:sz w:val="18"/>
              </w:rPr>
            </w:pPr>
            <w:r w:rsidRPr="00415119">
              <w:rPr>
                <w:rFonts w:asciiTheme="minorHAnsi" w:hAnsiTheme="minorHAnsi"/>
                <w:b/>
                <w:noProof/>
                <w:sz w:val="18"/>
                <w:lang w:val="en-US"/>
              </w:rPr>
              <w:drawing>
                <wp:inline distT="0" distB="0" distL="0" distR="0">
                  <wp:extent cx="2884487" cy="2447925"/>
                  <wp:effectExtent l="0" t="0" r="0" b="0"/>
                  <wp:docPr id="9"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AD470E" w:rsidRDefault="004F4070" w:rsidP="00F722F5">
      <w:pPr>
        <w:pStyle w:val="RoadefTexte"/>
        <w:tabs>
          <w:tab w:val="left" w:pos="0"/>
        </w:tabs>
        <w:spacing w:line="276" w:lineRule="auto"/>
        <w:ind w:firstLine="0"/>
        <w:jc w:val="center"/>
        <w:rPr>
          <w:rFonts w:asciiTheme="minorHAnsi" w:hAnsiTheme="minorHAnsi"/>
          <w:sz w:val="20"/>
          <w:lang w:val="en-US"/>
        </w:rPr>
      </w:pPr>
      <w:proofErr w:type="gramStart"/>
      <w:r w:rsidRPr="00BD3852">
        <w:rPr>
          <w:rFonts w:asciiTheme="minorHAnsi" w:hAnsiTheme="minorHAnsi"/>
          <w:b/>
          <w:sz w:val="20"/>
          <w:lang w:val="en-US"/>
        </w:rPr>
        <w:t>Figure 11.</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 xml:space="preserve">Impact of </w:t>
      </w:r>
      <w:r w:rsidRPr="00BD3852">
        <w:rPr>
          <w:rFonts w:asciiTheme="minorHAnsi" w:hAnsiTheme="minorHAnsi"/>
          <w:sz w:val="20"/>
          <w:lang w:val="en-US"/>
        </w:rPr>
        <w:t>the depot location on the relative</w:t>
      </w:r>
      <w:r w:rsidRPr="00BD3852">
        <w:rPr>
          <w:rFonts w:asciiTheme="minorHAnsi" w:hAnsiTheme="minorHAnsi"/>
          <w:bCs/>
          <w:sz w:val="20"/>
          <w:lang w:val="en-US"/>
        </w:rPr>
        <w:t xml:space="preser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II</w:t>
      </w:r>
    </w:p>
    <w:p w:rsidR="00BD3852" w:rsidRPr="00BD3852" w:rsidRDefault="00BD3852" w:rsidP="00BD3852">
      <w:pPr>
        <w:pStyle w:val="RoadefTexte"/>
        <w:tabs>
          <w:tab w:val="left" w:pos="0"/>
        </w:tabs>
        <w:spacing w:line="276" w:lineRule="auto"/>
        <w:ind w:firstLine="0"/>
        <w:jc w:val="center"/>
        <w:rPr>
          <w:rFonts w:asciiTheme="minorHAnsi" w:hAnsiTheme="minorHAnsi"/>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759"/>
      </w:tblGrid>
      <w:tr w:rsidR="004F4070" w:rsidTr="00DA4B35">
        <w:trPr>
          <w:jc w:val="center"/>
        </w:trPr>
        <w:tc>
          <w:tcPr>
            <w:tcW w:w="4675" w:type="dxa"/>
          </w:tcPr>
          <w:p w:rsidR="004F4070" w:rsidRPr="00E50C69" w:rsidRDefault="004F4070" w:rsidP="002C4739">
            <w:pPr>
              <w:pStyle w:val="RoadefTexte"/>
              <w:tabs>
                <w:tab w:val="left" w:pos="0"/>
              </w:tabs>
              <w:spacing w:line="276" w:lineRule="auto"/>
              <w:ind w:firstLine="0"/>
              <w:rPr>
                <w:rFonts w:asciiTheme="minorHAnsi" w:hAnsiTheme="minorHAnsi"/>
                <w:b/>
                <w:sz w:val="18"/>
              </w:rPr>
            </w:pPr>
            <w:r w:rsidRPr="00415119">
              <w:rPr>
                <w:rFonts w:asciiTheme="minorHAnsi" w:hAnsiTheme="minorHAnsi"/>
                <w:b/>
                <w:noProof/>
                <w:sz w:val="18"/>
                <w:lang w:val="en-US"/>
              </w:rPr>
              <w:drawing>
                <wp:inline distT="0" distB="0" distL="0" distR="0">
                  <wp:extent cx="2884487" cy="2447925"/>
                  <wp:effectExtent l="0" t="0" r="0" b="0"/>
                  <wp:docPr id="10"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75" w:type="dxa"/>
          </w:tcPr>
          <w:p w:rsidR="004F4070" w:rsidRPr="00E50C69" w:rsidRDefault="004F4070" w:rsidP="002C4739">
            <w:pPr>
              <w:pStyle w:val="RoadefTexte"/>
              <w:tabs>
                <w:tab w:val="left" w:pos="0"/>
              </w:tabs>
              <w:ind w:firstLine="0"/>
              <w:rPr>
                <w:rFonts w:asciiTheme="minorHAnsi" w:hAnsiTheme="minorHAnsi"/>
                <w:b/>
                <w:sz w:val="18"/>
              </w:rPr>
            </w:pPr>
            <w:r w:rsidRPr="00415119">
              <w:rPr>
                <w:rFonts w:asciiTheme="minorHAnsi" w:hAnsiTheme="minorHAnsi"/>
                <w:b/>
                <w:noProof/>
                <w:sz w:val="18"/>
                <w:lang w:val="en-US"/>
              </w:rPr>
              <w:drawing>
                <wp:inline distT="0" distB="0" distL="0" distR="0">
                  <wp:extent cx="2884487" cy="2447925"/>
                  <wp:effectExtent l="0" t="0" r="0" b="0"/>
                  <wp:docPr id="11"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0D60DD" w:rsidRPr="00BD3852" w:rsidRDefault="004F4070" w:rsidP="00BD3852">
      <w:pPr>
        <w:pStyle w:val="RoadefTexte"/>
        <w:tabs>
          <w:tab w:val="left" w:pos="0"/>
        </w:tabs>
        <w:spacing w:line="276" w:lineRule="auto"/>
        <w:ind w:firstLine="0"/>
        <w:jc w:val="center"/>
        <w:rPr>
          <w:rFonts w:asciiTheme="minorHAnsi" w:hAnsiTheme="minorHAnsi"/>
          <w:sz w:val="20"/>
        </w:rPr>
      </w:pPr>
      <w:proofErr w:type="gramStart"/>
      <w:r w:rsidRPr="00BD3852">
        <w:rPr>
          <w:rFonts w:asciiTheme="minorHAnsi" w:hAnsiTheme="minorHAnsi"/>
          <w:b/>
          <w:sz w:val="20"/>
          <w:lang w:val="en-US"/>
        </w:rPr>
        <w:t>Figure 12.</w:t>
      </w:r>
      <w:proofErr w:type="gramEnd"/>
      <w:r w:rsidRPr="00BD3852">
        <w:rPr>
          <w:rFonts w:asciiTheme="minorHAnsi" w:hAnsiTheme="minorHAnsi"/>
          <w:b/>
          <w:sz w:val="20"/>
          <w:lang w:val="en-US"/>
        </w:rPr>
        <w:t xml:space="preserve"> </w:t>
      </w:r>
      <w:r w:rsidRPr="00BD3852">
        <w:rPr>
          <w:rFonts w:asciiTheme="minorHAnsi" w:hAnsiTheme="minorHAnsi"/>
          <w:bCs/>
          <w:sz w:val="20"/>
          <w:lang w:val="en-US"/>
        </w:rPr>
        <w:t xml:space="preserve">Impact of </w:t>
      </w:r>
      <w:r w:rsidRPr="00BD3852">
        <w:rPr>
          <w:rFonts w:asciiTheme="minorHAnsi" w:hAnsiTheme="minorHAnsi"/>
          <w:sz w:val="20"/>
          <w:lang w:val="en-US"/>
        </w:rPr>
        <w:t xml:space="preserve">the unloading/loading time at the </w:t>
      </w:r>
      <w:r w:rsidR="00216E05" w:rsidRPr="00216E05">
        <w:rPr>
          <w:rFonts w:asciiTheme="minorHAnsi" w:hAnsiTheme="minorHAnsi"/>
          <w:sz w:val="20"/>
          <w:lang w:val="en-US"/>
        </w:rPr>
        <w:t xml:space="preserve">cross-dock </w:t>
      </w:r>
      <w:r w:rsidRPr="00BD3852">
        <w:rPr>
          <w:rFonts w:asciiTheme="minorHAnsi" w:hAnsiTheme="minorHAnsi"/>
          <w:sz w:val="20"/>
          <w:lang w:val="en-US"/>
        </w:rPr>
        <w:t>on the relative</w:t>
      </w:r>
      <w:r w:rsidRPr="00BD3852">
        <w:rPr>
          <w:rFonts w:asciiTheme="minorHAnsi" w:hAnsiTheme="minorHAnsi"/>
          <w:bCs/>
          <w:sz w:val="20"/>
          <w:lang w:val="en-US"/>
        </w:rPr>
        <w:t xml:space="preserve"> performance</w:t>
      </w:r>
      <w:r w:rsidRPr="00BD3852">
        <w:rPr>
          <w:rFonts w:asciiTheme="minorHAnsi" w:hAnsiTheme="minorHAnsi"/>
          <w:sz w:val="20"/>
          <w:lang w:val="en-US"/>
        </w:rPr>
        <w:t xml:space="preserve"> </w:t>
      </w:r>
      <w:r w:rsidRPr="00BD3852">
        <w:rPr>
          <w:rFonts w:asciiTheme="minorHAnsi" w:hAnsiTheme="minorHAnsi"/>
          <w:bCs/>
          <w:sz w:val="20"/>
          <w:lang w:val="en-US"/>
        </w:rPr>
        <w:t>for</w:t>
      </w:r>
      <w:r w:rsidRPr="00BD3852">
        <w:rPr>
          <w:rFonts w:asciiTheme="minorHAnsi" w:hAnsiTheme="minorHAnsi"/>
          <w:sz w:val="20"/>
          <w:lang w:val="en-US"/>
        </w:rPr>
        <w:t xml:space="preserve"> Data Set II</w:t>
      </w:r>
    </w:p>
    <w:p w:rsidR="00F00EA5" w:rsidRDefault="00770A07" w:rsidP="00F00EA5">
      <w:pPr>
        <w:pStyle w:val="RoadefTexte"/>
        <w:spacing w:after="0"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l-GR"/>
        </w:rPr>
        <w:t>Ι</w:t>
      </w:r>
      <w:r w:rsidR="0074002E">
        <w:rPr>
          <w:rFonts w:asciiTheme="minorHAnsi" w:eastAsiaTheme="minorHAnsi" w:hAnsiTheme="minorHAnsi" w:cstheme="minorBidi"/>
          <w:lang w:val="en-US"/>
        </w:rPr>
        <w:t>n the following</w:t>
      </w:r>
      <w:r w:rsidR="00E2278A">
        <w:rPr>
          <w:rFonts w:asciiTheme="minorHAnsi" w:eastAsiaTheme="minorHAnsi" w:hAnsiTheme="minorHAnsi" w:cstheme="minorBidi"/>
          <w:lang w:val="en-US"/>
        </w:rPr>
        <w:t>,</w:t>
      </w:r>
      <w:r w:rsidR="0074002E">
        <w:rPr>
          <w:rFonts w:asciiTheme="minorHAnsi" w:eastAsiaTheme="minorHAnsi" w:hAnsiTheme="minorHAnsi" w:cstheme="minorBidi"/>
          <w:lang w:val="en-US"/>
        </w:rPr>
        <w:t xml:space="preserve"> we will concentrate on the role of the spatial characteristics of the </w:t>
      </w:r>
      <w:r w:rsidR="00B5751A">
        <w:rPr>
          <w:rFonts w:asciiTheme="minorHAnsi" w:eastAsiaTheme="minorHAnsi" w:hAnsiTheme="minorHAnsi" w:cstheme="minorBidi"/>
          <w:lang w:val="en-US"/>
        </w:rPr>
        <w:t xml:space="preserve">problem instances of </w:t>
      </w:r>
      <w:r w:rsidR="0074002E">
        <w:rPr>
          <w:rFonts w:asciiTheme="minorHAnsi" w:eastAsiaTheme="minorHAnsi" w:hAnsiTheme="minorHAnsi" w:cstheme="minorBidi"/>
          <w:lang w:val="en-US"/>
        </w:rPr>
        <w:t xml:space="preserve">Data Set II, namely the </w:t>
      </w:r>
      <w:r w:rsidR="00B63101">
        <w:rPr>
          <w:rFonts w:asciiTheme="minorHAnsi" w:eastAsiaTheme="minorHAnsi" w:hAnsiTheme="minorHAnsi" w:cstheme="minorBidi"/>
          <w:lang w:val="en-US"/>
        </w:rPr>
        <w:t xml:space="preserve">degree of connectivity between supplier and customer locations </w:t>
      </w:r>
      <w:r w:rsidR="0074002E">
        <w:rPr>
          <w:rFonts w:asciiTheme="minorHAnsi" w:eastAsiaTheme="minorHAnsi" w:hAnsiTheme="minorHAnsi" w:cstheme="minorBidi"/>
          <w:lang w:val="en-US"/>
        </w:rPr>
        <w:t xml:space="preserve">and the </w:t>
      </w:r>
      <w:r w:rsidR="00B63101">
        <w:rPr>
          <w:rFonts w:asciiTheme="minorHAnsi" w:eastAsiaTheme="minorHAnsi" w:hAnsiTheme="minorHAnsi" w:cstheme="minorBidi"/>
          <w:lang w:val="en-US"/>
        </w:rPr>
        <w:t>distribution of nodes</w:t>
      </w:r>
      <w:r w:rsidR="0074002E">
        <w:rPr>
          <w:rFonts w:asciiTheme="minorHAnsi" w:eastAsiaTheme="minorHAnsi" w:hAnsiTheme="minorHAnsi" w:cstheme="minorBidi"/>
          <w:lang w:val="en-US"/>
        </w:rPr>
        <w:t>.</w:t>
      </w:r>
    </w:p>
    <w:p w:rsidR="00E2278A" w:rsidRPr="009F37B5" w:rsidRDefault="00F261B4" w:rsidP="00F00EA5">
      <w:pPr>
        <w:pStyle w:val="RoadefTexte"/>
        <w:spacing w:after="0"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T</w:t>
      </w:r>
      <w:r w:rsidR="00B63101">
        <w:rPr>
          <w:rFonts w:asciiTheme="minorHAnsi" w:eastAsiaTheme="minorHAnsi" w:hAnsiTheme="minorHAnsi" w:cstheme="minorBidi"/>
          <w:lang w:val="en-US"/>
        </w:rPr>
        <w:t>he connectivity between s</w:t>
      </w:r>
      <w:r>
        <w:rPr>
          <w:rFonts w:asciiTheme="minorHAnsi" w:eastAsiaTheme="minorHAnsi" w:hAnsiTheme="minorHAnsi" w:cstheme="minorBidi"/>
          <w:lang w:val="en-US"/>
        </w:rPr>
        <w:t xml:space="preserve">upplier and customer locations is determined by the demand density class introduced in the previous </w:t>
      </w:r>
      <w:r w:rsidR="00B5751A">
        <w:rPr>
          <w:rFonts w:asciiTheme="minorHAnsi" w:eastAsiaTheme="minorHAnsi" w:hAnsiTheme="minorHAnsi" w:cstheme="minorBidi"/>
          <w:lang w:val="en-US"/>
        </w:rPr>
        <w:t>section</w:t>
      </w:r>
      <w:r w:rsidR="0039334F">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The results indicate a strong </w:t>
      </w:r>
      <w:r w:rsidR="00B3791F">
        <w:rPr>
          <w:rFonts w:asciiTheme="minorHAnsi" w:eastAsiaTheme="minorHAnsi" w:hAnsiTheme="minorHAnsi" w:cstheme="minorBidi"/>
          <w:lang w:val="en-US"/>
        </w:rPr>
        <w:t xml:space="preserve">positive correlation of the density class and </w:t>
      </w:r>
      <w:r w:rsidR="00B3791F" w:rsidRPr="0039334F">
        <w:rPr>
          <w:rFonts w:asciiTheme="minorHAnsi" w:eastAsiaTheme="minorHAnsi" w:hAnsiTheme="minorHAnsi" w:cstheme="minorBidi"/>
          <w:i/>
          <w:lang w:val="el-GR"/>
        </w:rPr>
        <w:t>λ</w:t>
      </w:r>
      <w:r w:rsidR="00770A07" w:rsidRPr="00770A07">
        <w:rPr>
          <w:rFonts w:asciiTheme="minorHAnsi" w:eastAsiaTheme="minorHAnsi" w:hAnsiTheme="minorHAnsi" w:cstheme="minorBidi"/>
          <w:lang w:val="en-US"/>
        </w:rPr>
        <w:t xml:space="preserve"> </w:t>
      </w:r>
      <w:r w:rsidR="00770A07">
        <w:rPr>
          <w:rFonts w:asciiTheme="minorHAnsi" w:eastAsiaTheme="minorHAnsi" w:hAnsiTheme="minorHAnsi" w:cstheme="minorBidi"/>
          <w:lang w:val="en-US"/>
        </w:rPr>
        <w:t>value</w:t>
      </w:r>
      <w:r w:rsidR="00B5751A">
        <w:rPr>
          <w:rFonts w:asciiTheme="minorHAnsi" w:eastAsiaTheme="minorHAnsi" w:hAnsiTheme="minorHAnsi" w:cstheme="minorBidi"/>
          <w:lang w:val="en-US"/>
        </w:rPr>
        <w:t>s</w:t>
      </w:r>
      <w:r w:rsidR="000F01C8">
        <w:rPr>
          <w:rFonts w:asciiTheme="minorHAnsi" w:eastAsiaTheme="minorHAnsi" w:hAnsiTheme="minorHAnsi" w:cstheme="minorBidi"/>
          <w:lang w:val="en-US"/>
        </w:rPr>
        <w:t xml:space="preserve"> as shown in Figure 13</w:t>
      </w:r>
      <w:r w:rsidR="00B3791F">
        <w:rPr>
          <w:rFonts w:asciiTheme="minorHAnsi" w:eastAsiaTheme="minorHAnsi" w:hAnsiTheme="minorHAnsi" w:cstheme="minorBidi"/>
          <w:lang w:val="en-US"/>
        </w:rPr>
        <w:t xml:space="preserve">. </w:t>
      </w:r>
      <w:r w:rsidR="00B5751A">
        <w:rPr>
          <w:rFonts w:asciiTheme="minorHAnsi" w:eastAsiaTheme="minorHAnsi" w:hAnsiTheme="minorHAnsi" w:cstheme="minorBidi"/>
          <w:lang w:val="en-US"/>
        </w:rPr>
        <w:t>T</w:t>
      </w:r>
      <w:r>
        <w:rPr>
          <w:rFonts w:asciiTheme="minorHAnsi" w:eastAsiaTheme="minorHAnsi" w:hAnsiTheme="minorHAnsi" w:cstheme="minorBidi"/>
          <w:lang w:val="en-US"/>
        </w:rPr>
        <w:t xml:space="preserve">he higher the demand density class, the more competitive is the </w:t>
      </w:r>
      <w:r w:rsidR="00B5751A">
        <w:rPr>
          <w:rFonts w:asciiTheme="minorHAnsi" w:eastAsiaTheme="minorHAnsi" w:hAnsiTheme="minorHAnsi" w:cstheme="minorBidi"/>
          <w:lang w:val="en-US"/>
        </w:rPr>
        <w:t>cross-docking</w:t>
      </w:r>
      <w:r>
        <w:rPr>
          <w:rFonts w:asciiTheme="minorHAnsi" w:eastAsiaTheme="minorHAnsi" w:hAnsiTheme="minorHAnsi" w:cstheme="minorBidi"/>
          <w:lang w:val="en-US"/>
        </w:rPr>
        <w:t xml:space="preserve"> strategy. </w:t>
      </w:r>
      <w:r w:rsidR="00B3791F">
        <w:rPr>
          <w:rFonts w:asciiTheme="minorHAnsi" w:eastAsiaTheme="minorHAnsi" w:hAnsiTheme="minorHAnsi" w:cstheme="minorBidi"/>
          <w:lang w:val="en-US"/>
        </w:rPr>
        <w:t xml:space="preserve">In particular, the </w:t>
      </w:r>
      <w:r w:rsidR="00B3791F" w:rsidRPr="0039334F">
        <w:rPr>
          <w:rFonts w:asciiTheme="minorHAnsi" w:eastAsiaTheme="minorHAnsi" w:hAnsiTheme="minorHAnsi" w:cstheme="minorBidi"/>
          <w:i/>
          <w:lang w:val="el-GR"/>
        </w:rPr>
        <w:t>λ</w:t>
      </w:r>
      <w:r w:rsidR="00B3791F">
        <w:rPr>
          <w:rFonts w:asciiTheme="minorHAnsi" w:eastAsiaTheme="minorHAnsi" w:hAnsiTheme="minorHAnsi" w:cstheme="minorBidi"/>
          <w:lang w:val="en-US"/>
        </w:rPr>
        <w:t xml:space="preserve"> </w:t>
      </w:r>
      <w:r w:rsidR="000F01C8">
        <w:rPr>
          <w:rFonts w:asciiTheme="minorHAnsi" w:eastAsiaTheme="minorHAnsi" w:hAnsiTheme="minorHAnsi" w:cstheme="minorBidi"/>
          <w:lang w:val="en-US"/>
        </w:rPr>
        <w:t xml:space="preserve">for all </w:t>
      </w:r>
      <w:r w:rsidR="00B5751A">
        <w:rPr>
          <w:rFonts w:asciiTheme="minorHAnsi" w:eastAsiaTheme="minorHAnsi" w:hAnsiTheme="minorHAnsi" w:cstheme="minorBidi"/>
          <w:lang w:val="en-US"/>
        </w:rPr>
        <w:t xml:space="preserve">problem </w:t>
      </w:r>
      <w:r w:rsidR="000F01C8">
        <w:rPr>
          <w:rFonts w:asciiTheme="minorHAnsi" w:eastAsiaTheme="minorHAnsi" w:hAnsiTheme="minorHAnsi" w:cstheme="minorBidi"/>
          <w:lang w:val="en-US"/>
        </w:rPr>
        <w:t>instances i</w:t>
      </w:r>
      <w:r w:rsidR="006A0571">
        <w:rPr>
          <w:rFonts w:asciiTheme="minorHAnsi" w:eastAsiaTheme="minorHAnsi" w:hAnsiTheme="minorHAnsi" w:cstheme="minorBidi"/>
          <w:lang w:val="en-US"/>
        </w:rPr>
        <w:t>n</w:t>
      </w:r>
      <w:r w:rsidR="000F01C8">
        <w:rPr>
          <w:rFonts w:asciiTheme="minorHAnsi" w:eastAsiaTheme="minorHAnsi" w:hAnsiTheme="minorHAnsi" w:cstheme="minorBidi"/>
          <w:lang w:val="en-US"/>
        </w:rPr>
        <w:t xml:space="preserve"> Data Set II </w:t>
      </w:r>
      <w:r w:rsidR="00B3791F">
        <w:rPr>
          <w:rFonts w:asciiTheme="minorHAnsi" w:eastAsiaTheme="minorHAnsi" w:hAnsiTheme="minorHAnsi" w:cstheme="minorBidi"/>
          <w:lang w:val="en-US"/>
        </w:rPr>
        <w:t xml:space="preserve">is augmented by a </w:t>
      </w:r>
      <w:r w:rsidR="00C80EF3">
        <w:rPr>
          <w:rFonts w:asciiTheme="minorHAnsi" w:eastAsiaTheme="minorHAnsi" w:hAnsiTheme="minorHAnsi" w:cstheme="minorBidi"/>
          <w:lang w:val="en-US"/>
        </w:rPr>
        <w:t xml:space="preserve">significant </w:t>
      </w:r>
      <w:r w:rsidR="00B5751A">
        <w:rPr>
          <w:rFonts w:asciiTheme="minorHAnsi" w:eastAsiaTheme="minorHAnsi" w:hAnsiTheme="minorHAnsi" w:cstheme="minorBidi"/>
          <w:lang w:val="en-US"/>
        </w:rPr>
        <w:t>13.25</w:t>
      </w:r>
      <w:r w:rsidR="00C80EF3">
        <w:rPr>
          <w:rFonts w:asciiTheme="minorHAnsi" w:eastAsiaTheme="minorHAnsi" w:hAnsiTheme="minorHAnsi" w:cstheme="minorBidi"/>
          <w:lang w:val="en-US"/>
        </w:rPr>
        <w:t xml:space="preserve">% when moving from </w:t>
      </w:r>
      <w:r w:rsidR="0039334F" w:rsidRPr="00274329">
        <w:rPr>
          <w:rFonts w:asciiTheme="minorHAnsi" w:eastAsiaTheme="minorHAnsi" w:hAnsiTheme="minorHAnsi" w:cstheme="minorBidi"/>
          <w:i/>
          <w:lang w:val="en-US"/>
        </w:rPr>
        <w:t>DM</w:t>
      </w:r>
      <w:r w:rsidR="00C80EF3" w:rsidRPr="00274329">
        <w:rPr>
          <w:rFonts w:asciiTheme="minorHAnsi" w:eastAsiaTheme="minorHAnsi" w:hAnsiTheme="minorHAnsi" w:cstheme="minorBidi"/>
          <w:i/>
          <w:lang w:val="en-US"/>
        </w:rPr>
        <w:t>1</w:t>
      </w:r>
      <w:r w:rsidR="00C80EF3">
        <w:rPr>
          <w:rFonts w:asciiTheme="minorHAnsi" w:eastAsiaTheme="minorHAnsi" w:hAnsiTheme="minorHAnsi" w:cstheme="minorBidi"/>
          <w:lang w:val="en-US"/>
        </w:rPr>
        <w:t xml:space="preserve"> to </w:t>
      </w:r>
      <w:r w:rsidR="0039334F" w:rsidRPr="00274329">
        <w:rPr>
          <w:rFonts w:asciiTheme="minorHAnsi" w:eastAsiaTheme="minorHAnsi" w:hAnsiTheme="minorHAnsi" w:cstheme="minorBidi"/>
          <w:i/>
          <w:lang w:val="en-US"/>
        </w:rPr>
        <w:t>DM</w:t>
      </w:r>
      <w:r w:rsidR="00C80EF3" w:rsidRPr="00274329">
        <w:rPr>
          <w:rFonts w:asciiTheme="minorHAnsi" w:eastAsiaTheme="minorHAnsi" w:hAnsiTheme="minorHAnsi" w:cstheme="minorBidi"/>
          <w:i/>
          <w:lang w:val="en-US"/>
        </w:rPr>
        <w:t>3</w:t>
      </w:r>
      <w:r w:rsidR="00AD470E">
        <w:rPr>
          <w:rFonts w:asciiTheme="minorHAnsi" w:eastAsiaTheme="minorHAnsi" w:hAnsiTheme="minorHAnsi" w:cstheme="minorBidi"/>
          <w:lang w:val="en-US"/>
        </w:rPr>
        <w:t>.</w:t>
      </w:r>
      <w:r w:rsidR="006A0571">
        <w:rPr>
          <w:rFonts w:asciiTheme="minorHAnsi" w:eastAsiaTheme="minorHAnsi" w:hAnsiTheme="minorHAnsi" w:cstheme="minorBidi"/>
          <w:lang w:val="en-US"/>
        </w:rPr>
        <w:t xml:space="preserve"> </w:t>
      </w:r>
    </w:p>
    <w:p w:rsidR="00590CC2" w:rsidRDefault="007C6552" w:rsidP="00590CC2">
      <w:pPr>
        <w:pStyle w:val="RoadefTexte"/>
        <w:spacing w:line="276" w:lineRule="auto"/>
        <w:ind w:firstLine="0"/>
        <w:jc w:val="center"/>
        <w:rPr>
          <w:rFonts w:asciiTheme="minorHAnsi" w:eastAsiaTheme="minorHAnsi" w:hAnsiTheme="minorHAnsi" w:cstheme="minorBidi"/>
          <w:lang w:val="en-US"/>
        </w:rPr>
      </w:pPr>
      <w:r w:rsidRPr="007C6552">
        <w:rPr>
          <w:rFonts w:asciiTheme="minorHAnsi" w:eastAsiaTheme="minorHAnsi" w:hAnsiTheme="minorHAnsi" w:cstheme="minorBidi"/>
          <w:noProof/>
          <w:lang w:val="en-US"/>
        </w:rPr>
        <w:lastRenderedPageBreak/>
        <w:drawing>
          <wp:inline distT="0" distB="0" distL="0" distR="0">
            <wp:extent cx="2884487" cy="244792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109C" w:rsidRPr="0008109C" w:rsidRDefault="00E2278A" w:rsidP="0008109C">
      <w:pPr>
        <w:pStyle w:val="RoadefTexte"/>
        <w:spacing w:line="276" w:lineRule="auto"/>
        <w:ind w:firstLine="0"/>
        <w:jc w:val="center"/>
        <w:rPr>
          <w:rFonts w:asciiTheme="minorHAnsi" w:hAnsiTheme="minorHAnsi"/>
          <w:bCs/>
          <w:sz w:val="20"/>
          <w:lang w:val="en-US"/>
        </w:rPr>
      </w:pPr>
      <w:proofErr w:type="gramStart"/>
      <w:r w:rsidRPr="00590CC2">
        <w:rPr>
          <w:rFonts w:asciiTheme="minorHAnsi" w:hAnsiTheme="minorHAnsi"/>
          <w:b/>
          <w:bCs/>
          <w:sz w:val="20"/>
          <w:lang w:val="en-US"/>
        </w:rPr>
        <w:t xml:space="preserve">Figure </w:t>
      </w:r>
      <w:r w:rsidR="00AD470E" w:rsidRPr="00590CC2">
        <w:rPr>
          <w:rFonts w:asciiTheme="minorHAnsi" w:hAnsiTheme="minorHAnsi"/>
          <w:b/>
          <w:bCs/>
          <w:sz w:val="20"/>
          <w:lang w:val="en-US"/>
        </w:rPr>
        <w:t>13</w:t>
      </w:r>
      <w:r w:rsidRPr="00590CC2">
        <w:rPr>
          <w:rFonts w:asciiTheme="minorHAnsi" w:hAnsiTheme="minorHAnsi"/>
          <w:b/>
          <w:bCs/>
          <w:sz w:val="20"/>
          <w:lang w:val="en-US"/>
        </w:rPr>
        <w:t>.</w:t>
      </w:r>
      <w:proofErr w:type="gramEnd"/>
      <w:r w:rsidRPr="00590CC2">
        <w:rPr>
          <w:rFonts w:asciiTheme="minorHAnsi" w:hAnsiTheme="minorHAnsi"/>
          <w:b/>
          <w:bCs/>
          <w:sz w:val="20"/>
          <w:lang w:val="en-US"/>
        </w:rPr>
        <w:t xml:space="preserve"> </w:t>
      </w:r>
      <w:r w:rsidR="00FD1665" w:rsidRPr="00590CC2">
        <w:rPr>
          <w:rFonts w:asciiTheme="minorHAnsi" w:hAnsiTheme="minorHAnsi"/>
          <w:bCs/>
          <w:sz w:val="20"/>
          <w:lang w:val="en-US"/>
        </w:rPr>
        <w:t xml:space="preserve">Impact of the DM on the </w:t>
      </w:r>
      <w:r w:rsidR="0008109C" w:rsidRPr="00BD3852">
        <w:rPr>
          <w:rFonts w:asciiTheme="minorHAnsi" w:hAnsiTheme="minorHAnsi"/>
          <w:sz w:val="20"/>
          <w:lang w:val="en-US"/>
        </w:rPr>
        <w:t>on the relative</w:t>
      </w:r>
      <w:r w:rsidR="0008109C" w:rsidRPr="00BD3852">
        <w:rPr>
          <w:rFonts w:asciiTheme="minorHAnsi" w:hAnsiTheme="minorHAnsi"/>
          <w:bCs/>
          <w:sz w:val="20"/>
          <w:lang w:val="en-US"/>
        </w:rPr>
        <w:t xml:space="preserve"> performance</w:t>
      </w:r>
      <w:r w:rsidR="0008109C" w:rsidRPr="00BD3852">
        <w:rPr>
          <w:rFonts w:asciiTheme="minorHAnsi" w:hAnsiTheme="minorHAnsi"/>
          <w:sz w:val="20"/>
          <w:lang w:val="en-US"/>
        </w:rPr>
        <w:t xml:space="preserve"> </w:t>
      </w:r>
      <w:r w:rsidR="0008109C" w:rsidRPr="00BD3852">
        <w:rPr>
          <w:rFonts w:asciiTheme="minorHAnsi" w:hAnsiTheme="minorHAnsi"/>
          <w:bCs/>
          <w:sz w:val="20"/>
          <w:lang w:val="en-US"/>
        </w:rPr>
        <w:t>for</w:t>
      </w:r>
      <w:r w:rsidR="0008109C" w:rsidRPr="00BD3852">
        <w:rPr>
          <w:rFonts w:asciiTheme="minorHAnsi" w:hAnsiTheme="minorHAnsi"/>
          <w:sz w:val="20"/>
          <w:lang w:val="en-US"/>
        </w:rPr>
        <w:t xml:space="preserve"> Data Set II</w:t>
      </w:r>
    </w:p>
    <w:p w:rsidR="004E586D" w:rsidRDefault="000F01C8" w:rsidP="00F00EA5">
      <w:pPr>
        <w:pStyle w:val="RoadefTexte"/>
        <w:spacing w:after="0"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Regarding the distribution of the n</w:t>
      </w:r>
      <w:r w:rsidR="00A963F9">
        <w:rPr>
          <w:rFonts w:asciiTheme="minorHAnsi" w:eastAsiaTheme="minorHAnsi" w:hAnsiTheme="minorHAnsi" w:cstheme="minorBidi"/>
          <w:lang w:val="en-US"/>
        </w:rPr>
        <w:t>odes, we observe that the cross-</w:t>
      </w:r>
      <w:r>
        <w:rPr>
          <w:rFonts w:asciiTheme="minorHAnsi" w:eastAsiaTheme="minorHAnsi" w:hAnsiTheme="minorHAnsi" w:cstheme="minorBidi"/>
          <w:lang w:val="en-US"/>
        </w:rPr>
        <w:t xml:space="preserve">docking strategy seems to </w:t>
      </w:r>
      <w:r w:rsidR="00AE47C3">
        <w:rPr>
          <w:rFonts w:asciiTheme="minorHAnsi" w:eastAsiaTheme="minorHAnsi" w:hAnsiTheme="minorHAnsi" w:cstheme="minorBidi"/>
          <w:lang w:val="en-US"/>
        </w:rPr>
        <w:t>perform better for the C</w:t>
      </w:r>
      <w:r>
        <w:rPr>
          <w:rFonts w:asciiTheme="minorHAnsi" w:eastAsiaTheme="minorHAnsi" w:hAnsiTheme="minorHAnsi" w:cstheme="minorBidi"/>
          <w:lang w:val="en-US"/>
        </w:rPr>
        <w:t xml:space="preserve"> class, where supplier and customer nodes are located into separate geographic regions. The </w:t>
      </w:r>
      <w:r w:rsidRPr="00A3751F">
        <w:rPr>
          <w:rFonts w:asciiTheme="minorHAnsi" w:eastAsiaTheme="minorHAnsi" w:hAnsiTheme="minorHAnsi" w:cstheme="minorBidi"/>
          <w:i/>
          <w:lang w:val="el-GR"/>
        </w:rPr>
        <w:t>λ</w:t>
      </w:r>
      <w:r w:rsidRPr="00A3751F">
        <w:rPr>
          <w:rFonts w:asciiTheme="minorHAnsi" w:eastAsiaTheme="minorHAnsi" w:hAnsiTheme="minorHAnsi" w:cstheme="minorBidi"/>
          <w:i/>
          <w:lang w:val="en-US"/>
        </w:rPr>
        <w:t xml:space="preserve"> </w:t>
      </w:r>
      <w:r>
        <w:rPr>
          <w:rFonts w:asciiTheme="minorHAnsi" w:eastAsiaTheme="minorHAnsi" w:hAnsiTheme="minorHAnsi" w:cstheme="minorBidi"/>
          <w:lang w:val="en-US"/>
        </w:rPr>
        <w:t xml:space="preserve">is </w:t>
      </w:r>
      <w:r w:rsidR="00860048">
        <w:rPr>
          <w:rFonts w:asciiTheme="minorHAnsi" w:eastAsiaTheme="minorHAnsi" w:hAnsiTheme="minorHAnsi" w:cstheme="minorBidi"/>
          <w:lang w:val="en-US"/>
        </w:rPr>
        <w:t>0.65</w:t>
      </w:r>
      <w:r>
        <w:rPr>
          <w:rFonts w:asciiTheme="minorHAnsi" w:eastAsiaTheme="minorHAnsi" w:hAnsiTheme="minorHAnsi" w:cstheme="minorBidi"/>
          <w:lang w:val="en-US"/>
        </w:rPr>
        <w:t xml:space="preserve"> for the </w:t>
      </w:r>
      <w:r w:rsidR="00CD7512" w:rsidRPr="00CD7512">
        <w:rPr>
          <w:rFonts w:asciiTheme="minorHAnsi" w:eastAsiaTheme="minorHAnsi" w:hAnsiTheme="minorHAnsi" w:cstheme="minorBidi"/>
          <w:i/>
          <w:lang w:val="en-US"/>
        </w:rPr>
        <w:t>R</w:t>
      </w:r>
      <w:r w:rsidR="00AE47C3">
        <w:rPr>
          <w:rFonts w:asciiTheme="minorHAnsi" w:eastAsiaTheme="minorHAnsi" w:hAnsiTheme="minorHAnsi" w:cstheme="minorBidi"/>
          <w:lang w:val="en-US"/>
        </w:rPr>
        <w:t xml:space="preserve"> class</w:t>
      </w:r>
      <w:r w:rsidR="00CD7512">
        <w:rPr>
          <w:rFonts w:asciiTheme="minorHAnsi" w:eastAsiaTheme="minorHAnsi" w:hAnsiTheme="minorHAnsi" w:cstheme="minorBidi"/>
          <w:lang w:val="en-US"/>
        </w:rPr>
        <w:t xml:space="preserve"> </w:t>
      </w:r>
      <w:r w:rsidR="00AE47C3">
        <w:rPr>
          <w:rFonts w:asciiTheme="minorHAnsi" w:eastAsiaTheme="minorHAnsi" w:hAnsiTheme="minorHAnsi" w:cstheme="minorBidi"/>
          <w:lang w:val="en-US"/>
        </w:rPr>
        <w:t>and increases</w:t>
      </w:r>
      <w:r>
        <w:rPr>
          <w:rFonts w:asciiTheme="minorHAnsi" w:eastAsiaTheme="minorHAnsi" w:hAnsiTheme="minorHAnsi" w:cstheme="minorBidi"/>
          <w:lang w:val="en-US"/>
        </w:rPr>
        <w:t xml:space="preserve"> up to </w:t>
      </w:r>
      <w:r w:rsidR="00860048">
        <w:rPr>
          <w:rFonts w:asciiTheme="minorHAnsi" w:eastAsiaTheme="minorHAnsi" w:hAnsiTheme="minorHAnsi" w:cstheme="minorBidi"/>
          <w:lang w:val="en-US"/>
        </w:rPr>
        <w:t>0.81</w:t>
      </w:r>
      <w:r>
        <w:rPr>
          <w:rFonts w:asciiTheme="minorHAnsi" w:eastAsiaTheme="minorHAnsi" w:hAnsiTheme="minorHAnsi" w:cstheme="minorBidi"/>
          <w:lang w:val="en-US"/>
        </w:rPr>
        <w:t xml:space="preserve"> for the </w:t>
      </w:r>
      <w:r w:rsidR="00CD7512" w:rsidRPr="00CD7512">
        <w:rPr>
          <w:rFonts w:asciiTheme="minorHAnsi" w:eastAsiaTheme="minorHAnsi" w:hAnsiTheme="minorHAnsi" w:cstheme="minorBidi"/>
          <w:i/>
          <w:lang w:val="en-US"/>
        </w:rPr>
        <w:t>C</w:t>
      </w:r>
      <w:r w:rsidR="00AE47C3">
        <w:rPr>
          <w:rFonts w:asciiTheme="minorHAnsi" w:eastAsiaTheme="minorHAnsi" w:hAnsiTheme="minorHAnsi" w:cstheme="minorBidi"/>
          <w:lang w:val="en-US"/>
        </w:rPr>
        <w:t xml:space="preserve"> class</w:t>
      </w:r>
      <w:r>
        <w:rPr>
          <w:rFonts w:asciiTheme="minorHAnsi" w:eastAsiaTheme="minorHAnsi" w:hAnsiTheme="minorHAnsi" w:cstheme="minorBidi"/>
          <w:lang w:val="en-US"/>
        </w:rPr>
        <w:t xml:space="preserve">. In specific, for the </w:t>
      </w:r>
      <w:r w:rsidR="00AE47C3">
        <w:rPr>
          <w:rFonts w:asciiTheme="minorHAnsi" w:eastAsiaTheme="minorHAnsi" w:hAnsiTheme="minorHAnsi" w:cstheme="minorBidi"/>
          <w:lang w:val="en-US"/>
        </w:rPr>
        <w:t>C class and</w:t>
      </w:r>
      <w:r>
        <w:rPr>
          <w:rFonts w:asciiTheme="minorHAnsi" w:eastAsiaTheme="minorHAnsi" w:hAnsiTheme="minorHAnsi" w:cstheme="minorBidi"/>
          <w:lang w:val="en-US"/>
        </w:rPr>
        <w:t xml:space="preserve"> when the depot is located between the supplier and customer nodes </w:t>
      </w:r>
      <w:r w:rsidR="00CD7512">
        <w:rPr>
          <w:rFonts w:asciiTheme="minorHAnsi" w:eastAsiaTheme="minorHAnsi" w:hAnsiTheme="minorHAnsi" w:cstheme="minorBidi"/>
          <w:lang w:val="en-US"/>
        </w:rPr>
        <w:t>(</w:t>
      </w:r>
      <w:r w:rsidRPr="00CD7512">
        <w:rPr>
          <w:rFonts w:asciiTheme="minorHAnsi" w:eastAsiaTheme="minorHAnsi" w:hAnsiTheme="minorHAnsi" w:cstheme="minorBidi"/>
          <w:i/>
          <w:lang w:val="en-US"/>
        </w:rPr>
        <w:t>D1</w:t>
      </w:r>
      <w:r>
        <w:rPr>
          <w:rFonts w:asciiTheme="minorHAnsi" w:eastAsiaTheme="minorHAnsi" w:hAnsiTheme="minorHAnsi" w:cstheme="minorBidi"/>
          <w:lang w:val="en-US"/>
        </w:rPr>
        <w:t xml:space="preserve"> configuratio</w:t>
      </w:r>
      <w:r w:rsidR="00A30478">
        <w:rPr>
          <w:rFonts w:asciiTheme="minorHAnsi" w:eastAsiaTheme="minorHAnsi" w:hAnsiTheme="minorHAnsi" w:cstheme="minorBidi"/>
          <w:lang w:val="en-US"/>
        </w:rPr>
        <w:t xml:space="preserve">n), the </w:t>
      </w:r>
      <w:r w:rsidR="00AE47C3">
        <w:rPr>
          <w:rFonts w:asciiTheme="minorHAnsi" w:eastAsiaTheme="minorHAnsi" w:hAnsiTheme="minorHAnsi" w:cstheme="minorBidi"/>
          <w:lang w:val="en-US"/>
        </w:rPr>
        <w:t xml:space="preserve">cross-docking strategy </w:t>
      </w:r>
      <w:proofErr w:type="gramStart"/>
      <w:r w:rsidR="00AE47C3">
        <w:rPr>
          <w:rFonts w:asciiTheme="minorHAnsi" w:eastAsiaTheme="minorHAnsi" w:hAnsiTheme="minorHAnsi" w:cstheme="minorBidi"/>
          <w:lang w:val="en-US"/>
        </w:rPr>
        <w:t>is</w:t>
      </w:r>
      <w:proofErr w:type="gramEnd"/>
      <w:r w:rsidR="00AE47C3">
        <w:rPr>
          <w:rFonts w:asciiTheme="minorHAnsi" w:eastAsiaTheme="minorHAnsi" w:hAnsiTheme="minorHAnsi" w:cstheme="minorBidi"/>
          <w:lang w:val="en-US"/>
        </w:rPr>
        <w:t xml:space="preserve"> better</w:t>
      </w:r>
      <w:r w:rsidR="00A30478">
        <w:rPr>
          <w:rFonts w:asciiTheme="minorHAnsi" w:eastAsiaTheme="minorHAnsi" w:hAnsiTheme="minorHAnsi" w:cstheme="minorBidi"/>
          <w:lang w:val="en-US"/>
        </w:rPr>
        <w:t>.</w:t>
      </w:r>
    </w:p>
    <w:p w:rsidR="00472E54" w:rsidRDefault="001C40EE" w:rsidP="00F00EA5">
      <w:pPr>
        <w:pStyle w:val="RoadefTexte"/>
        <w:spacing w:after="0"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Finally</w:t>
      </w:r>
      <w:r w:rsidR="00F1122D">
        <w:rPr>
          <w:rFonts w:asciiTheme="minorHAnsi" w:eastAsiaTheme="minorHAnsi" w:hAnsiTheme="minorHAnsi" w:cstheme="minorBidi"/>
          <w:lang w:val="en-US"/>
        </w:rPr>
        <w:t>, we can see that the joint impact of the supplier and customer node</w:t>
      </w:r>
      <w:r w:rsidR="000D7DC8">
        <w:rPr>
          <w:rFonts w:asciiTheme="minorHAnsi" w:eastAsiaTheme="minorHAnsi" w:hAnsiTheme="minorHAnsi" w:cstheme="minorBidi"/>
          <w:lang w:val="en-US"/>
        </w:rPr>
        <w:t xml:space="preserve"> connectivity</w:t>
      </w:r>
      <w:r w:rsidR="00F1122D">
        <w:rPr>
          <w:rFonts w:asciiTheme="minorHAnsi" w:eastAsiaTheme="minorHAnsi" w:hAnsiTheme="minorHAnsi" w:cstheme="minorBidi"/>
          <w:lang w:val="en-US"/>
        </w:rPr>
        <w:t>, the geographic distribution of customers</w:t>
      </w:r>
      <w:r w:rsidR="004B3954">
        <w:rPr>
          <w:rFonts w:asciiTheme="minorHAnsi" w:eastAsiaTheme="minorHAnsi" w:hAnsiTheme="minorHAnsi" w:cstheme="minorBidi"/>
          <w:lang w:val="en-US"/>
        </w:rPr>
        <w:t>,</w:t>
      </w:r>
      <w:r w:rsidR="00F1122D">
        <w:rPr>
          <w:rFonts w:asciiTheme="minorHAnsi" w:eastAsiaTheme="minorHAnsi" w:hAnsiTheme="minorHAnsi" w:cstheme="minorBidi"/>
          <w:lang w:val="en-US"/>
        </w:rPr>
        <w:t xml:space="preserve"> and the depot location </w:t>
      </w:r>
      <w:r w:rsidR="004B3954">
        <w:rPr>
          <w:rFonts w:asciiTheme="minorHAnsi" w:eastAsiaTheme="minorHAnsi" w:hAnsiTheme="minorHAnsi" w:cstheme="minorBidi"/>
          <w:lang w:val="en-US"/>
        </w:rPr>
        <w:t xml:space="preserve">on the relative suitability of the model is significant. </w:t>
      </w:r>
      <w:r w:rsidR="00AE47C3">
        <w:rPr>
          <w:rFonts w:asciiTheme="minorHAnsi" w:eastAsiaTheme="minorHAnsi" w:hAnsiTheme="minorHAnsi" w:cstheme="minorBidi"/>
          <w:lang w:val="en-US"/>
        </w:rPr>
        <w:t>F</w:t>
      </w:r>
      <w:r w:rsidR="004B3954">
        <w:rPr>
          <w:rFonts w:asciiTheme="minorHAnsi" w:eastAsiaTheme="minorHAnsi" w:hAnsiTheme="minorHAnsi" w:cstheme="minorBidi"/>
          <w:lang w:val="en-US"/>
        </w:rPr>
        <w:t>or cases where supplier and customer nodes are densely connected (</w:t>
      </w:r>
      <w:r w:rsidR="00472E54" w:rsidRPr="00471B6D">
        <w:rPr>
          <w:rFonts w:asciiTheme="minorHAnsi" w:eastAsiaTheme="minorHAnsi" w:hAnsiTheme="minorHAnsi" w:cstheme="minorBidi"/>
          <w:i/>
          <w:lang w:val="en-US"/>
        </w:rPr>
        <w:t>DM3</w:t>
      </w:r>
      <w:r w:rsidR="004B3954">
        <w:rPr>
          <w:rFonts w:asciiTheme="minorHAnsi" w:eastAsiaTheme="minorHAnsi" w:hAnsiTheme="minorHAnsi" w:cstheme="minorBidi"/>
          <w:lang w:val="en-US"/>
        </w:rPr>
        <w:t xml:space="preserve"> class), suppliers and customers are positioned in separated regions (</w:t>
      </w:r>
      <w:r w:rsidR="00472E54" w:rsidRPr="00471B6D">
        <w:rPr>
          <w:rFonts w:asciiTheme="minorHAnsi" w:eastAsiaTheme="minorHAnsi" w:hAnsiTheme="minorHAnsi" w:cstheme="minorBidi"/>
          <w:i/>
          <w:lang w:val="en-US"/>
        </w:rPr>
        <w:t>C</w:t>
      </w:r>
      <w:r w:rsidR="00472E54">
        <w:rPr>
          <w:rFonts w:asciiTheme="minorHAnsi" w:eastAsiaTheme="minorHAnsi" w:hAnsiTheme="minorHAnsi" w:cstheme="minorBidi"/>
          <w:lang w:val="en-US"/>
        </w:rPr>
        <w:t xml:space="preserve"> class</w:t>
      </w:r>
      <w:r w:rsidR="004B3954">
        <w:rPr>
          <w:rFonts w:asciiTheme="minorHAnsi" w:eastAsiaTheme="minorHAnsi" w:hAnsiTheme="minorHAnsi" w:cstheme="minorBidi"/>
          <w:lang w:val="en-US"/>
        </w:rPr>
        <w:t xml:space="preserve">) and the cross-dock is </w:t>
      </w:r>
      <w:r w:rsidR="00AE47C3">
        <w:rPr>
          <w:rFonts w:asciiTheme="minorHAnsi" w:eastAsiaTheme="minorHAnsi" w:hAnsiTheme="minorHAnsi" w:cstheme="minorBidi"/>
          <w:lang w:val="en-US"/>
        </w:rPr>
        <w:t>centrally located</w:t>
      </w:r>
      <w:r w:rsidR="004B3954">
        <w:rPr>
          <w:rFonts w:asciiTheme="minorHAnsi" w:eastAsiaTheme="minorHAnsi" w:hAnsiTheme="minorHAnsi" w:cstheme="minorBidi"/>
          <w:lang w:val="en-US"/>
        </w:rPr>
        <w:t xml:space="preserve"> (</w:t>
      </w:r>
      <w:r w:rsidR="00472E54" w:rsidRPr="00471B6D">
        <w:rPr>
          <w:rFonts w:asciiTheme="minorHAnsi" w:eastAsiaTheme="minorHAnsi" w:hAnsiTheme="minorHAnsi" w:cstheme="minorBidi"/>
          <w:i/>
          <w:lang w:val="en-US"/>
        </w:rPr>
        <w:t>D1</w:t>
      </w:r>
      <w:r w:rsidR="00AE47C3">
        <w:rPr>
          <w:rFonts w:asciiTheme="minorHAnsi" w:eastAsiaTheme="minorHAnsi" w:hAnsiTheme="minorHAnsi" w:cstheme="minorBidi"/>
          <w:i/>
          <w:lang w:val="en-US"/>
        </w:rPr>
        <w:t xml:space="preserve"> level</w:t>
      </w:r>
      <w:r w:rsidR="004B3954">
        <w:rPr>
          <w:rFonts w:asciiTheme="minorHAnsi" w:eastAsiaTheme="minorHAnsi" w:hAnsiTheme="minorHAnsi" w:cstheme="minorBidi"/>
          <w:lang w:val="en-US"/>
        </w:rPr>
        <w:t>)</w:t>
      </w:r>
      <w:r w:rsidR="000D7DC8">
        <w:rPr>
          <w:rFonts w:asciiTheme="minorHAnsi" w:eastAsiaTheme="minorHAnsi" w:hAnsiTheme="minorHAnsi" w:cstheme="minorBidi"/>
          <w:lang w:val="en-US"/>
        </w:rPr>
        <w:t>,</w:t>
      </w:r>
      <w:r w:rsidR="004B3954">
        <w:rPr>
          <w:rFonts w:asciiTheme="minorHAnsi" w:eastAsiaTheme="minorHAnsi" w:hAnsiTheme="minorHAnsi" w:cstheme="minorBidi"/>
          <w:lang w:val="en-US"/>
        </w:rPr>
        <w:t xml:space="preserve"> </w:t>
      </w:r>
      <w:r w:rsidR="00A963F9">
        <w:rPr>
          <w:rFonts w:asciiTheme="minorHAnsi" w:eastAsiaTheme="minorHAnsi" w:hAnsiTheme="minorHAnsi" w:cstheme="minorBidi"/>
          <w:lang w:val="en-US"/>
        </w:rPr>
        <w:t>cross-</w:t>
      </w:r>
      <w:r w:rsidR="004B3954">
        <w:rPr>
          <w:rFonts w:asciiTheme="minorHAnsi" w:eastAsiaTheme="minorHAnsi" w:hAnsiTheme="minorHAnsi" w:cstheme="minorBidi"/>
          <w:lang w:val="en-US"/>
        </w:rPr>
        <w:t>docking appe</w:t>
      </w:r>
      <w:r w:rsidR="000D7DC8">
        <w:rPr>
          <w:rFonts w:asciiTheme="minorHAnsi" w:eastAsiaTheme="minorHAnsi" w:hAnsiTheme="minorHAnsi" w:cstheme="minorBidi"/>
          <w:lang w:val="en-US"/>
        </w:rPr>
        <w:t>a</w:t>
      </w:r>
      <w:r w:rsidR="00AE47C3">
        <w:rPr>
          <w:rFonts w:asciiTheme="minorHAnsi" w:eastAsiaTheme="minorHAnsi" w:hAnsiTheme="minorHAnsi" w:cstheme="minorBidi"/>
          <w:lang w:val="en-US"/>
        </w:rPr>
        <w:t>rs to be more suitable</w:t>
      </w:r>
      <w:r w:rsidR="004B3954">
        <w:rPr>
          <w:rFonts w:asciiTheme="minorHAnsi" w:eastAsiaTheme="minorHAnsi" w:hAnsiTheme="minorHAnsi" w:cstheme="minorBidi"/>
          <w:lang w:val="en-US"/>
        </w:rPr>
        <w:t xml:space="preserve">. </w:t>
      </w:r>
      <w:r w:rsidR="000D7DC8">
        <w:rPr>
          <w:rFonts w:asciiTheme="minorHAnsi" w:eastAsiaTheme="minorHAnsi" w:hAnsiTheme="minorHAnsi" w:cstheme="minorBidi"/>
          <w:lang w:val="en-US"/>
        </w:rPr>
        <w:t>F</w:t>
      </w:r>
      <w:r w:rsidR="00AE47C3">
        <w:rPr>
          <w:rFonts w:asciiTheme="minorHAnsi" w:eastAsiaTheme="minorHAnsi" w:hAnsiTheme="minorHAnsi" w:cstheme="minorBidi"/>
          <w:lang w:val="en-US"/>
        </w:rPr>
        <w:t xml:space="preserve">or problem </w:t>
      </w:r>
      <w:r w:rsidR="004B3954">
        <w:rPr>
          <w:rFonts w:asciiTheme="minorHAnsi" w:eastAsiaTheme="minorHAnsi" w:hAnsiTheme="minorHAnsi" w:cstheme="minorBidi"/>
          <w:lang w:val="en-US"/>
        </w:rPr>
        <w:t>instance</w:t>
      </w:r>
      <w:r w:rsidR="00AE47C3">
        <w:rPr>
          <w:rFonts w:asciiTheme="minorHAnsi" w:eastAsiaTheme="minorHAnsi" w:hAnsiTheme="minorHAnsi" w:cstheme="minorBidi"/>
          <w:lang w:val="en-US"/>
        </w:rPr>
        <w:t>s</w:t>
      </w:r>
      <w:r w:rsidR="004B3954">
        <w:rPr>
          <w:rFonts w:asciiTheme="minorHAnsi" w:eastAsiaTheme="minorHAnsi" w:hAnsiTheme="minorHAnsi" w:cstheme="minorBidi"/>
          <w:lang w:val="en-US"/>
        </w:rPr>
        <w:t xml:space="preserve"> </w:t>
      </w:r>
      <w:r w:rsidR="00AE47C3">
        <w:rPr>
          <w:rFonts w:asciiTheme="minorHAnsi" w:eastAsiaTheme="minorHAnsi" w:hAnsiTheme="minorHAnsi" w:cstheme="minorBidi"/>
          <w:lang w:val="en-US"/>
        </w:rPr>
        <w:t xml:space="preserve">of this subset, </w:t>
      </w:r>
      <w:r w:rsidR="004B3954" w:rsidRPr="00471B6D">
        <w:rPr>
          <w:rFonts w:asciiTheme="minorHAnsi" w:eastAsiaTheme="minorHAnsi" w:hAnsiTheme="minorHAnsi" w:cstheme="minorBidi"/>
          <w:i/>
          <w:lang w:val="el-GR"/>
        </w:rPr>
        <w:t>λ</w:t>
      </w:r>
      <w:r w:rsidR="004B3954" w:rsidRPr="004B3954">
        <w:rPr>
          <w:rFonts w:asciiTheme="minorHAnsi" w:eastAsiaTheme="minorHAnsi" w:hAnsiTheme="minorHAnsi" w:cstheme="minorBidi"/>
          <w:lang w:val="en-US"/>
        </w:rPr>
        <w:t xml:space="preserve"> </w:t>
      </w:r>
      <w:r w:rsidR="004B3954">
        <w:rPr>
          <w:rFonts w:asciiTheme="minorHAnsi" w:eastAsiaTheme="minorHAnsi" w:hAnsiTheme="minorHAnsi" w:cstheme="minorBidi"/>
          <w:lang w:val="en-US"/>
        </w:rPr>
        <w:t xml:space="preserve">is equal to </w:t>
      </w:r>
      <w:r w:rsidR="00472E54">
        <w:rPr>
          <w:rFonts w:asciiTheme="minorHAnsi" w:eastAsiaTheme="minorHAnsi" w:hAnsiTheme="minorHAnsi" w:cstheme="minorBidi"/>
          <w:lang w:val="en-US"/>
        </w:rPr>
        <w:t>1.02 (</w:t>
      </w:r>
      <w:r w:rsidR="00AE47C3">
        <w:rPr>
          <w:rFonts w:asciiTheme="minorHAnsi" w:eastAsiaTheme="minorHAnsi" w:hAnsiTheme="minorHAnsi" w:cstheme="minorBidi"/>
          <w:lang w:val="en-US"/>
        </w:rPr>
        <w:t xml:space="preserve">see </w:t>
      </w:r>
      <w:r w:rsidR="00472E54">
        <w:rPr>
          <w:rFonts w:asciiTheme="minorHAnsi" w:eastAsiaTheme="minorHAnsi" w:hAnsiTheme="minorHAnsi" w:cstheme="minorBidi"/>
          <w:lang w:val="en-US"/>
        </w:rPr>
        <w:t>Figure 12)</w:t>
      </w:r>
      <w:r w:rsidR="004B3954">
        <w:rPr>
          <w:rFonts w:asciiTheme="minorHAnsi" w:eastAsiaTheme="minorHAnsi" w:hAnsiTheme="minorHAnsi" w:cstheme="minorBidi"/>
          <w:lang w:val="en-US"/>
        </w:rPr>
        <w:t xml:space="preserve">, indicating that </w:t>
      </w:r>
      <w:r w:rsidR="00AE47C3">
        <w:rPr>
          <w:rFonts w:asciiTheme="minorHAnsi" w:eastAsiaTheme="minorHAnsi" w:hAnsiTheme="minorHAnsi" w:cstheme="minorBidi"/>
          <w:lang w:val="en-US"/>
        </w:rPr>
        <w:t xml:space="preserve">with the cross-docking strategy </w:t>
      </w:r>
      <w:r w:rsidR="004B3954">
        <w:rPr>
          <w:rFonts w:asciiTheme="minorHAnsi" w:eastAsiaTheme="minorHAnsi" w:hAnsiTheme="minorHAnsi" w:cstheme="minorBidi"/>
          <w:lang w:val="en-US"/>
        </w:rPr>
        <w:t xml:space="preserve">generates </w:t>
      </w:r>
      <w:r w:rsidR="00AE47C3">
        <w:rPr>
          <w:rFonts w:asciiTheme="minorHAnsi" w:eastAsiaTheme="minorHAnsi" w:hAnsiTheme="minorHAnsi" w:cstheme="minorBidi"/>
          <w:lang w:val="en-US"/>
        </w:rPr>
        <w:t xml:space="preserve">on average </w:t>
      </w:r>
      <w:r w:rsidR="004B3954">
        <w:rPr>
          <w:rFonts w:asciiTheme="minorHAnsi" w:eastAsiaTheme="minorHAnsi" w:hAnsiTheme="minorHAnsi" w:cstheme="minorBidi"/>
          <w:lang w:val="en-US"/>
        </w:rPr>
        <w:t>so</w:t>
      </w:r>
      <w:r w:rsidR="00AE47C3">
        <w:rPr>
          <w:rFonts w:asciiTheme="minorHAnsi" w:eastAsiaTheme="minorHAnsi" w:hAnsiTheme="minorHAnsi" w:cstheme="minorBidi"/>
          <w:lang w:val="en-US"/>
        </w:rPr>
        <w:t>lutions of lower costs</w:t>
      </w:r>
      <w:r w:rsidR="004B3954">
        <w:rPr>
          <w:rFonts w:asciiTheme="minorHAnsi" w:eastAsiaTheme="minorHAnsi" w:hAnsiTheme="minorHAnsi" w:cstheme="minorBidi"/>
          <w:lang w:val="en-US"/>
        </w:rPr>
        <w:t>. Th</w:t>
      </w:r>
      <w:r w:rsidR="00AE47C3">
        <w:rPr>
          <w:rFonts w:asciiTheme="minorHAnsi" w:eastAsiaTheme="minorHAnsi" w:hAnsiTheme="minorHAnsi" w:cstheme="minorBidi"/>
          <w:lang w:val="en-US"/>
        </w:rPr>
        <w:t>e cross-docking suitability</w:t>
      </w:r>
      <w:r w:rsidR="000D7DC8">
        <w:rPr>
          <w:rFonts w:asciiTheme="minorHAnsi" w:eastAsiaTheme="minorHAnsi" w:hAnsiTheme="minorHAnsi" w:cstheme="minorBidi"/>
          <w:lang w:val="en-US"/>
        </w:rPr>
        <w:t xml:space="preserve"> is</w:t>
      </w:r>
      <w:r w:rsidR="004B3954">
        <w:rPr>
          <w:rFonts w:asciiTheme="minorHAnsi" w:eastAsiaTheme="minorHAnsi" w:hAnsiTheme="minorHAnsi" w:cstheme="minorBidi"/>
          <w:lang w:val="en-US"/>
        </w:rPr>
        <w:t xml:space="preserve"> streng</w:t>
      </w:r>
      <w:r w:rsidR="000D7DC8">
        <w:rPr>
          <w:rFonts w:asciiTheme="minorHAnsi" w:eastAsiaTheme="minorHAnsi" w:hAnsiTheme="minorHAnsi" w:cstheme="minorBidi"/>
          <w:lang w:val="en-US"/>
        </w:rPr>
        <w:t>th</w:t>
      </w:r>
      <w:r w:rsidR="004B3954">
        <w:rPr>
          <w:rFonts w:asciiTheme="minorHAnsi" w:eastAsiaTheme="minorHAnsi" w:hAnsiTheme="minorHAnsi" w:cstheme="minorBidi"/>
          <w:lang w:val="en-US"/>
        </w:rPr>
        <w:t xml:space="preserve">ened when the capacity of </w:t>
      </w:r>
      <w:r w:rsidR="00AE47C3">
        <w:rPr>
          <w:rFonts w:asciiTheme="minorHAnsi" w:eastAsiaTheme="minorHAnsi" w:hAnsiTheme="minorHAnsi" w:cstheme="minorBidi"/>
          <w:lang w:val="en-US"/>
        </w:rPr>
        <w:t xml:space="preserve">the </w:t>
      </w:r>
      <w:r w:rsidR="004B3954">
        <w:rPr>
          <w:rFonts w:asciiTheme="minorHAnsi" w:eastAsiaTheme="minorHAnsi" w:hAnsiTheme="minorHAnsi" w:cstheme="minorBidi"/>
          <w:lang w:val="en-US"/>
        </w:rPr>
        <w:t>vehicles</w:t>
      </w:r>
      <w:r w:rsidR="00AE47C3">
        <w:rPr>
          <w:rFonts w:asciiTheme="minorHAnsi" w:eastAsiaTheme="minorHAnsi" w:hAnsiTheme="minorHAnsi" w:cstheme="minorBidi"/>
          <w:lang w:val="en-US"/>
        </w:rPr>
        <w:t xml:space="preserve"> is large.</w:t>
      </w:r>
      <w:r w:rsidR="004B3954">
        <w:rPr>
          <w:rFonts w:asciiTheme="minorHAnsi" w:eastAsiaTheme="minorHAnsi" w:hAnsiTheme="minorHAnsi" w:cstheme="minorBidi"/>
          <w:lang w:val="en-US"/>
        </w:rPr>
        <w:t xml:space="preserve"> </w:t>
      </w:r>
      <w:r w:rsidR="00AE47C3">
        <w:rPr>
          <w:rFonts w:asciiTheme="minorHAnsi" w:eastAsiaTheme="minorHAnsi" w:hAnsiTheme="minorHAnsi" w:cstheme="minorBidi"/>
          <w:lang w:val="en-US"/>
        </w:rPr>
        <w:t>Indeed, f</w:t>
      </w:r>
      <w:r w:rsidR="004B3954">
        <w:rPr>
          <w:rFonts w:asciiTheme="minorHAnsi" w:eastAsiaTheme="minorHAnsi" w:hAnsiTheme="minorHAnsi" w:cstheme="minorBidi"/>
          <w:lang w:val="en-US"/>
        </w:rPr>
        <w:t xml:space="preserve">or </w:t>
      </w:r>
      <w:r w:rsidR="00AE47C3">
        <w:rPr>
          <w:rFonts w:asciiTheme="minorHAnsi" w:eastAsiaTheme="minorHAnsi" w:hAnsiTheme="minorHAnsi" w:cstheme="minorBidi"/>
          <w:lang w:val="en-US"/>
        </w:rPr>
        <w:t xml:space="preserve">problem </w:t>
      </w:r>
      <w:r w:rsidR="004B3954">
        <w:rPr>
          <w:rFonts w:asciiTheme="minorHAnsi" w:eastAsiaTheme="minorHAnsi" w:hAnsiTheme="minorHAnsi" w:cstheme="minorBidi"/>
          <w:lang w:val="en-US"/>
        </w:rPr>
        <w:t>instance</w:t>
      </w:r>
      <w:r w:rsidR="00AE47C3">
        <w:rPr>
          <w:rFonts w:asciiTheme="minorHAnsi" w:eastAsiaTheme="minorHAnsi" w:hAnsiTheme="minorHAnsi" w:cstheme="minorBidi"/>
          <w:lang w:val="en-US"/>
        </w:rPr>
        <w:t>s</w:t>
      </w:r>
      <w:r w:rsidR="000D7DC8">
        <w:rPr>
          <w:rFonts w:asciiTheme="minorHAnsi" w:eastAsiaTheme="minorHAnsi" w:hAnsiTheme="minorHAnsi" w:cstheme="minorBidi"/>
          <w:lang w:val="en-US"/>
        </w:rPr>
        <w:t xml:space="preserve"> with capacity level </w:t>
      </w:r>
      <w:r w:rsidR="000D7DC8" w:rsidRPr="00471B6D">
        <w:rPr>
          <w:rFonts w:asciiTheme="minorHAnsi" w:eastAsiaTheme="minorHAnsi" w:hAnsiTheme="minorHAnsi" w:cstheme="minorBidi"/>
          <w:i/>
          <w:lang w:val="en-US"/>
        </w:rPr>
        <w:t>Q1</w:t>
      </w:r>
      <w:r w:rsidR="000D7DC8">
        <w:rPr>
          <w:rFonts w:asciiTheme="minorHAnsi" w:eastAsiaTheme="minorHAnsi" w:hAnsiTheme="minorHAnsi" w:cstheme="minorBidi"/>
          <w:lang w:val="en-US"/>
        </w:rPr>
        <w:t xml:space="preserve"> </w:t>
      </w:r>
      <w:r w:rsidR="00AE47C3">
        <w:rPr>
          <w:rFonts w:asciiTheme="minorHAnsi" w:eastAsiaTheme="minorHAnsi" w:hAnsiTheme="minorHAnsi" w:cstheme="minorBidi"/>
          <w:lang w:val="en-US"/>
        </w:rPr>
        <w:t xml:space="preserve">(low capacities) </w:t>
      </w:r>
      <w:r w:rsidR="004B3954" w:rsidRPr="00471B6D">
        <w:rPr>
          <w:rFonts w:asciiTheme="minorHAnsi" w:eastAsiaTheme="minorHAnsi" w:hAnsiTheme="minorHAnsi" w:cstheme="minorBidi"/>
          <w:i/>
          <w:lang w:val="el-GR"/>
        </w:rPr>
        <w:t>λ</w:t>
      </w:r>
      <w:r w:rsidR="004B3954">
        <w:rPr>
          <w:rFonts w:asciiTheme="minorHAnsi" w:eastAsiaTheme="minorHAnsi" w:hAnsiTheme="minorHAnsi" w:cstheme="minorBidi"/>
          <w:lang w:val="en-US"/>
        </w:rPr>
        <w:t xml:space="preserve"> is </w:t>
      </w:r>
      <w:r w:rsidR="00472E54">
        <w:rPr>
          <w:rFonts w:asciiTheme="minorHAnsi" w:eastAsiaTheme="minorHAnsi" w:hAnsiTheme="minorHAnsi" w:cstheme="minorBidi"/>
          <w:lang w:val="en-US"/>
        </w:rPr>
        <w:t>1.07</w:t>
      </w:r>
      <w:r w:rsidR="00AE47C3">
        <w:rPr>
          <w:rFonts w:asciiTheme="minorHAnsi" w:eastAsiaTheme="minorHAnsi" w:hAnsiTheme="minorHAnsi" w:cstheme="minorBidi"/>
          <w:lang w:val="en-US"/>
        </w:rPr>
        <w:t xml:space="preserve">, whereas for </w:t>
      </w:r>
      <w:r w:rsidR="004B3954" w:rsidRPr="00471B6D">
        <w:rPr>
          <w:rFonts w:asciiTheme="minorHAnsi" w:eastAsiaTheme="minorHAnsi" w:hAnsiTheme="minorHAnsi" w:cstheme="minorBidi"/>
          <w:i/>
          <w:lang w:val="en-US"/>
        </w:rPr>
        <w:t>Q</w:t>
      </w:r>
      <w:r w:rsidR="000D7DC8" w:rsidRPr="00471B6D">
        <w:rPr>
          <w:rFonts w:asciiTheme="minorHAnsi" w:eastAsiaTheme="minorHAnsi" w:hAnsiTheme="minorHAnsi" w:cstheme="minorBidi"/>
          <w:i/>
          <w:lang w:val="en-US"/>
        </w:rPr>
        <w:t>3</w:t>
      </w:r>
      <w:r w:rsidR="00AE47C3">
        <w:rPr>
          <w:rFonts w:asciiTheme="minorHAnsi" w:eastAsiaTheme="minorHAnsi" w:hAnsiTheme="minorHAnsi" w:cstheme="minorBidi"/>
          <w:lang w:val="en-US"/>
        </w:rPr>
        <w:t xml:space="preserve"> capacity </w:t>
      </w:r>
      <w:r w:rsidR="004B3954">
        <w:rPr>
          <w:rFonts w:asciiTheme="minorHAnsi" w:eastAsiaTheme="minorHAnsi" w:hAnsiTheme="minorHAnsi" w:cstheme="minorBidi"/>
          <w:lang w:val="en-US"/>
        </w:rPr>
        <w:t xml:space="preserve">level </w:t>
      </w:r>
      <w:r w:rsidR="004B3954" w:rsidRPr="00471B6D">
        <w:rPr>
          <w:rFonts w:asciiTheme="minorHAnsi" w:eastAsiaTheme="minorHAnsi" w:hAnsiTheme="minorHAnsi" w:cstheme="minorBidi"/>
          <w:i/>
          <w:lang w:val="el-GR"/>
        </w:rPr>
        <w:t>λ</w:t>
      </w:r>
      <w:r w:rsidR="004B3954">
        <w:rPr>
          <w:rFonts w:asciiTheme="minorHAnsi" w:eastAsiaTheme="minorHAnsi" w:hAnsiTheme="minorHAnsi" w:cstheme="minorBidi"/>
          <w:lang w:val="en-US"/>
        </w:rPr>
        <w:t xml:space="preserve"> increases to </w:t>
      </w:r>
      <w:r w:rsidR="00472E54">
        <w:rPr>
          <w:rFonts w:asciiTheme="minorHAnsi" w:eastAsiaTheme="minorHAnsi" w:hAnsiTheme="minorHAnsi" w:cstheme="minorBidi"/>
          <w:lang w:val="en-US"/>
        </w:rPr>
        <w:t>1.12</w:t>
      </w:r>
      <w:r w:rsidR="004B3954">
        <w:rPr>
          <w:rFonts w:asciiTheme="minorHAnsi" w:eastAsiaTheme="minorHAnsi" w:hAnsiTheme="minorHAnsi" w:cstheme="minorBidi"/>
          <w:lang w:val="en-US"/>
        </w:rPr>
        <w:t>.</w:t>
      </w:r>
    </w:p>
    <w:p w:rsidR="00A30478" w:rsidRDefault="00A30478" w:rsidP="00A30478">
      <w:pPr>
        <w:pStyle w:val="RoadefTexte"/>
        <w:spacing w:after="0" w:line="276" w:lineRule="auto"/>
        <w:ind w:firstLine="0"/>
        <w:rPr>
          <w:rFonts w:asciiTheme="minorHAnsi" w:eastAsiaTheme="minorHAnsi" w:hAnsiTheme="minorHAnsi" w:cstheme="minorBidi"/>
          <w:lang w:val="en-US"/>
        </w:rPr>
      </w:pPr>
    </w:p>
    <w:bookmarkEnd w:id="539"/>
    <w:p w:rsidR="00F00EA5" w:rsidRDefault="00343891" w:rsidP="00F00EA5">
      <w:pPr>
        <w:spacing w:after="0"/>
        <w:rPr>
          <w:rFonts w:cs="Times New Roman"/>
          <w:b/>
        </w:rPr>
      </w:pPr>
      <w:r w:rsidRPr="009876BB">
        <w:rPr>
          <w:rFonts w:cs="Times New Roman"/>
          <w:b/>
        </w:rPr>
        <w:t>Conclusions</w:t>
      </w:r>
      <w:bookmarkStart w:id="540" w:name="OLE_LINK780"/>
      <w:bookmarkStart w:id="541" w:name="OLE_LINK781"/>
    </w:p>
    <w:p w:rsidR="009C382D" w:rsidRPr="00F00EA5" w:rsidRDefault="00207236" w:rsidP="00F00EA5">
      <w:pPr>
        <w:spacing w:after="0"/>
        <w:jc w:val="both"/>
        <w:rPr>
          <w:rFonts w:cs="Times New Roman"/>
          <w:b/>
        </w:rPr>
      </w:pPr>
      <w:r w:rsidRPr="00190A76">
        <w:t xml:space="preserve">This </w:t>
      </w:r>
      <w:r w:rsidR="00F6484D">
        <w:t>paper</w:t>
      </w:r>
      <w:r w:rsidRPr="00190A76">
        <w:t xml:space="preserve"> is motivated by the importance of evaluating the relative performance of the </w:t>
      </w:r>
      <w:r w:rsidR="00F6484D">
        <w:t>direct shipping and cross-docking strategies</w:t>
      </w:r>
      <w:r w:rsidRPr="00190A76">
        <w:t>.</w:t>
      </w:r>
      <w:bookmarkStart w:id="542" w:name="OLE_LINK114"/>
      <w:r w:rsidR="00127522">
        <w:t xml:space="preserve"> </w:t>
      </w:r>
      <w:r w:rsidR="00137E5A">
        <w:t>For this purpose, a Tabu Search metaheuristic algorithm has been developed</w:t>
      </w:r>
      <w:r w:rsidR="009C382D">
        <w:t>,</w:t>
      </w:r>
      <w:r w:rsidR="00137E5A">
        <w:t xml:space="preserve"> and used as a common optimization framework for addressing both the PDP and the VRPCD. The proposed local search algorithm employs edge-exchange neighborhood structures, and uses a novel mechanism based on static move descriptors </w:t>
      </w:r>
      <w:r w:rsidR="009C382D">
        <w:t>to</w:t>
      </w:r>
      <w:r w:rsidR="00137E5A">
        <w:t xml:space="preserve"> </w:t>
      </w:r>
      <w:r w:rsidR="009C382D">
        <w:t>guide</w:t>
      </w:r>
      <w:r w:rsidR="00137E5A">
        <w:t xml:space="preserve"> the search. </w:t>
      </w:r>
      <w:r w:rsidR="009C382D">
        <w:t>Benchmark data sets of the literature were used initially to evaluate the effectiveness and efficiency of the proposed optimization method, while va</w:t>
      </w:r>
      <w:r w:rsidR="009C382D" w:rsidRPr="00831D38">
        <w:rPr>
          <w:rFonts w:cs="Times New Roman"/>
          <w:szCs w:val="24"/>
        </w:rPr>
        <w:t xml:space="preserve">rious computational experiments </w:t>
      </w:r>
      <w:r w:rsidR="009C382D">
        <w:rPr>
          <w:rFonts w:cs="Times New Roman"/>
          <w:szCs w:val="24"/>
        </w:rPr>
        <w:t>on new problem instances were p</w:t>
      </w:r>
      <w:r w:rsidR="009C382D" w:rsidRPr="00831D38">
        <w:rPr>
          <w:rFonts w:cs="Times New Roman"/>
          <w:szCs w:val="24"/>
        </w:rPr>
        <w:t>erformed</w:t>
      </w:r>
      <w:r w:rsidR="009C382D">
        <w:rPr>
          <w:rFonts w:cs="Times New Roman"/>
          <w:szCs w:val="24"/>
        </w:rPr>
        <w:t xml:space="preserve"> to</w:t>
      </w:r>
      <w:r w:rsidR="009C382D" w:rsidRPr="00831D38">
        <w:rPr>
          <w:rFonts w:cs="Times New Roman"/>
          <w:szCs w:val="24"/>
        </w:rPr>
        <w:t xml:space="preserve"> </w:t>
      </w:r>
      <w:r w:rsidR="009C382D">
        <w:rPr>
          <w:rFonts w:cs="Times New Roman"/>
          <w:szCs w:val="24"/>
        </w:rPr>
        <w:t>analyze</w:t>
      </w:r>
      <w:r w:rsidR="009C382D" w:rsidRPr="00831D38">
        <w:rPr>
          <w:rFonts w:cs="Times New Roman"/>
          <w:szCs w:val="24"/>
        </w:rPr>
        <w:t xml:space="preserve"> the impact of several spatial and temporal </w:t>
      </w:r>
      <w:r w:rsidR="009C382D">
        <w:rPr>
          <w:rFonts w:cs="Times New Roman"/>
          <w:szCs w:val="24"/>
        </w:rPr>
        <w:t>network characteristics</w:t>
      </w:r>
      <w:r w:rsidR="009C382D" w:rsidRPr="00831D38">
        <w:rPr>
          <w:rFonts w:cs="Times New Roman"/>
          <w:szCs w:val="24"/>
        </w:rPr>
        <w:t>.</w:t>
      </w:r>
      <w:r w:rsidR="009C382D">
        <w:rPr>
          <w:rFonts w:cs="Times New Roman"/>
          <w:szCs w:val="24"/>
        </w:rPr>
        <w:t xml:space="preserve"> </w:t>
      </w:r>
    </w:p>
    <w:p w:rsidR="009815E1" w:rsidRDefault="009C382D" w:rsidP="00F00EA5">
      <w:pPr>
        <w:pStyle w:val="RoadefTexte"/>
        <w:spacing w:after="0"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In particular, e</w:t>
      </w:r>
      <w:r w:rsidR="009815E1" w:rsidRPr="00190A76">
        <w:rPr>
          <w:rFonts w:asciiTheme="minorHAnsi" w:eastAsiaTheme="minorHAnsi" w:hAnsiTheme="minorHAnsi" w:cstheme="minorBidi"/>
          <w:lang w:val="en-US"/>
        </w:rPr>
        <w:t xml:space="preserve">xperiments on </w:t>
      </w:r>
      <w:r w:rsidR="00262375" w:rsidRPr="00190A76">
        <w:rPr>
          <w:rFonts w:asciiTheme="minorHAnsi" w:eastAsiaTheme="minorHAnsi" w:hAnsiTheme="minorHAnsi" w:cstheme="minorBidi"/>
          <w:lang w:val="en-US"/>
        </w:rPr>
        <w:t>well-studied</w:t>
      </w:r>
      <w:r w:rsidR="009815E1" w:rsidRPr="00190A76">
        <w:rPr>
          <w:rFonts w:asciiTheme="minorHAnsi" w:eastAsiaTheme="minorHAnsi" w:hAnsiTheme="minorHAnsi" w:cstheme="minorBidi"/>
          <w:lang w:val="en-US"/>
        </w:rPr>
        <w:t xml:space="preserve"> PDP and VRPCD benchmark instances with time window constraints indicate that the proposed </w:t>
      </w:r>
      <w:r w:rsidR="0003051A">
        <w:rPr>
          <w:rFonts w:asciiTheme="minorHAnsi" w:eastAsiaTheme="minorHAnsi" w:hAnsiTheme="minorHAnsi" w:cstheme="minorBidi"/>
          <w:lang w:val="en-US"/>
        </w:rPr>
        <w:t>Tabu Search metaheuristic algorithm</w:t>
      </w:r>
      <w:r w:rsidR="009815E1" w:rsidRPr="00190A76">
        <w:rPr>
          <w:rFonts w:asciiTheme="minorHAnsi" w:eastAsiaTheme="minorHAnsi" w:hAnsiTheme="minorHAnsi" w:cstheme="minorBidi"/>
          <w:lang w:val="en-US"/>
        </w:rPr>
        <w:t xml:space="preserve"> is very competitive</w:t>
      </w:r>
      <w:r w:rsidR="0003051A">
        <w:rPr>
          <w:rFonts w:asciiTheme="minorHAnsi" w:eastAsiaTheme="minorHAnsi" w:hAnsiTheme="minorHAnsi" w:cstheme="minorBidi"/>
          <w:lang w:val="en-US"/>
        </w:rPr>
        <w:t xml:space="preserve"> compared to the current state-of-the-art</w:t>
      </w:r>
      <w:r w:rsidR="009815E1" w:rsidRPr="00190A76">
        <w:rPr>
          <w:rFonts w:asciiTheme="minorHAnsi" w:eastAsiaTheme="minorHAnsi" w:hAnsiTheme="minorHAnsi" w:cstheme="minorBidi"/>
          <w:lang w:val="en-US"/>
        </w:rPr>
        <w:t xml:space="preserve">. More specifically, for the VRPCD several new best solutions </w:t>
      </w:r>
      <w:r w:rsidR="009815E1" w:rsidRPr="00190A76">
        <w:rPr>
          <w:rFonts w:asciiTheme="minorHAnsi" w:eastAsiaTheme="minorHAnsi" w:hAnsiTheme="minorHAnsi" w:cstheme="minorBidi"/>
          <w:lang w:val="en-US"/>
        </w:rPr>
        <w:lastRenderedPageBreak/>
        <w:t xml:space="preserve">have been identified, whereas for the PDP a very stable performance is observed, and </w:t>
      </w:r>
      <w:r w:rsidR="0003051A">
        <w:rPr>
          <w:rFonts w:asciiTheme="minorHAnsi" w:eastAsiaTheme="minorHAnsi" w:hAnsiTheme="minorHAnsi" w:cstheme="minorBidi"/>
          <w:lang w:val="en-US"/>
        </w:rPr>
        <w:t>for most problem instances</w:t>
      </w:r>
      <w:r w:rsidR="009815E1" w:rsidRPr="00190A76">
        <w:rPr>
          <w:rFonts w:asciiTheme="minorHAnsi" w:eastAsiaTheme="minorHAnsi" w:hAnsiTheme="minorHAnsi" w:cstheme="minorBidi"/>
          <w:lang w:val="en-US"/>
        </w:rPr>
        <w:t xml:space="preserve"> the best known solutions are matched. </w:t>
      </w:r>
      <w:r w:rsidR="0003051A">
        <w:rPr>
          <w:rFonts w:asciiTheme="minorHAnsi" w:eastAsiaTheme="minorHAnsi" w:hAnsiTheme="minorHAnsi" w:cstheme="minorBidi"/>
          <w:lang w:val="en-US"/>
        </w:rPr>
        <w:t>Overall, t</w:t>
      </w:r>
      <w:r w:rsidR="009815E1" w:rsidRPr="00190A76">
        <w:rPr>
          <w:rFonts w:asciiTheme="minorHAnsi" w:eastAsiaTheme="minorHAnsi" w:hAnsiTheme="minorHAnsi" w:cstheme="minorBidi"/>
          <w:lang w:val="en-US"/>
        </w:rPr>
        <w:t xml:space="preserve">he quality of the results obtained </w:t>
      </w:r>
      <w:r w:rsidR="0003051A">
        <w:rPr>
          <w:rFonts w:asciiTheme="minorHAnsi" w:eastAsiaTheme="minorHAnsi" w:hAnsiTheme="minorHAnsi" w:cstheme="minorBidi"/>
          <w:lang w:val="en-US"/>
        </w:rPr>
        <w:t xml:space="preserve">is a strong indication that the proposed </w:t>
      </w:r>
      <w:r>
        <w:rPr>
          <w:rFonts w:asciiTheme="minorHAnsi" w:eastAsiaTheme="minorHAnsi" w:hAnsiTheme="minorHAnsi" w:cstheme="minorBidi"/>
          <w:lang w:val="en-US"/>
        </w:rPr>
        <w:t>optimization method</w:t>
      </w:r>
      <w:r w:rsidR="009815E1" w:rsidRPr="00190A76">
        <w:rPr>
          <w:rFonts w:asciiTheme="minorHAnsi" w:eastAsiaTheme="minorHAnsi" w:hAnsiTheme="minorHAnsi" w:cstheme="minorBidi"/>
          <w:lang w:val="en-US"/>
        </w:rPr>
        <w:t xml:space="preserve"> </w:t>
      </w:r>
      <w:r w:rsidR="0003051A">
        <w:rPr>
          <w:rFonts w:asciiTheme="minorHAnsi" w:eastAsiaTheme="minorHAnsi" w:hAnsiTheme="minorHAnsi" w:cstheme="minorBidi"/>
          <w:lang w:val="en-US"/>
        </w:rPr>
        <w:t>can be adopted for practical real life applications</w:t>
      </w:r>
      <w:r w:rsidR="009815E1" w:rsidRPr="00190A76">
        <w:rPr>
          <w:rFonts w:asciiTheme="minorHAnsi" w:eastAsiaTheme="minorHAnsi" w:hAnsiTheme="minorHAnsi" w:cstheme="minorBidi"/>
          <w:lang w:val="en-US"/>
        </w:rPr>
        <w:t xml:space="preserve">. </w:t>
      </w:r>
    </w:p>
    <w:bookmarkEnd w:id="540"/>
    <w:bookmarkEnd w:id="541"/>
    <w:bookmarkEnd w:id="542"/>
    <w:p w:rsidR="00F00EA5" w:rsidRDefault="009C382D" w:rsidP="00F00EA5">
      <w:pPr>
        <w:pStyle w:val="RoadefTexte"/>
        <w:spacing w:after="0" w:line="276" w:lineRule="auto"/>
        <w:ind w:firstLine="720"/>
        <w:rPr>
          <w:rFonts w:asciiTheme="minorHAnsi" w:hAnsiTheme="minorHAnsi"/>
          <w:lang w:val="en-US"/>
        </w:rPr>
      </w:pPr>
      <w:r>
        <w:rPr>
          <w:rFonts w:asciiTheme="minorHAnsi" w:hAnsiTheme="minorHAnsi"/>
          <w:lang w:val="en-US"/>
        </w:rPr>
        <w:t>V</w:t>
      </w:r>
      <w:r w:rsidR="0003051A">
        <w:rPr>
          <w:rFonts w:asciiTheme="minorHAnsi" w:hAnsiTheme="minorHAnsi"/>
          <w:lang w:val="en-US"/>
        </w:rPr>
        <w:t xml:space="preserve">arious computational experiments </w:t>
      </w:r>
      <w:r w:rsidR="002D7A0A" w:rsidRPr="00190A76">
        <w:rPr>
          <w:rFonts w:asciiTheme="minorHAnsi" w:hAnsiTheme="minorHAnsi"/>
          <w:lang w:val="en-US"/>
        </w:rPr>
        <w:t xml:space="preserve">have </w:t>
      </w:r>
      <w:r w:rsidR="0003051A">
        <w:rPr>
          <w:rFonts w:asciiTheme="minorHAnsi" w:hAnsiTheme="minorHAnsi"/>
          <w:lang w:val="en-US"/>
        </w:rPr>
        <w:t xml:space="preserve">been </w:t>
      </w:r>
      <w:r>
        <w:rPr>
          <w:rFonts w:asciiTheme="minorHAnsi" w:hAnsiTheme="minorHAnsi"/>
          <w:lang w:val="en-US"/>
        </w:rPr>
        <w:t xml:space="preserve">also </w:t>
      </w:r>
      <w:r w:rsidR="002D7A0A" w:rsidRPr="00190A76">
        <w:rPr>
          <w:rFonts w:asciiTheme="minorHAnsi" w:hAnsiTheme="minorHAnsi"/>
          <w:lang w:val="en-US"/>
        </w:rPr>
        <w:t xml:space="preserve">performed </w:t>
      </w:r>
      <w:r w:rsidR="002D7A0A" w:rsidRPr="002D7A0A">
        <w:rPr>
          <w:rFonts w:asciiTheme="minorHAnsi" w:hAnsiTheme="minorHAnsi"/>
          <w:lang w:val="en-US"/>
        </w:rPr>
        <w:t xml:space="preserve">to analyze the relative effectiveness of </w:t>
      </w:r>
      <w:r w:rsidR="0084316D">
        <w:rPr>
          <w:rFonts w:asciiTheme="minorHAnsi" w:hAnsiTheme="minorHAnsi"/>
          <w:lang w:val="en-US"/>
        </w:rPr>
        <w:t xml:space="preserve">the </w:t>
      </w:r>
      <w:r w:rsidR="002D7A0A" w:rsidRPr="002D7A0A">
        <w:rPr>
          <w:rFonts w:asciiTheme="minorHAnsi" w:hAnsiTheme="minorHAnsi"/>
          <w:lang w:val="en-US"/>
        </w:rPr>
        <w:t>direct shipping and cross-docki</w:t>
      </w:r>
      <w:r w:rsidR="002D7A0A">
        <w:rPr>
          <w:rFonts w:asciiTheme="minorHAnsi" w:hAnsiTheme="minorHAnsi"/>
          <w:lang w:val="en-US"/>
        </w:rPr>
        <w:t>ng strategies.</w:t>
      </w:r>
      <w:r w:rsidR="002C4739">
        <w:rPr>
          <w:rFonts w:asciiTheme="minorHAnsi" w:hAnsiTheme="minorHAnsi"/>
          <w:lang w:val="en-US"/>
        </w:rPr>
        <w:t xml:space="preserve"> </w:t>
      </w:r>
      <w:r w:rsidR="0003051A">
        <w:rPr>
          <w:rFonts w:asciiTheme="minorHAnsi" w:hAnsiTheme="minorHAnsi"/>
          <w:lang w:val="en-US"/>
        </w:rPr>
        <w:t xml:space="preserve">Several cases </w:t>
      </w:r>
      <w:r w:rsidR="002C4739">
        <w:rPr>
          <w:rFonts w:asciiTheme="minorHAnsi" w:eastAsiaTheme="minorHAnsi" w:hAnsiTheme="minorHAnsi" w:cstheme="minorBidi"/>
          <w:lang w:val="en-US"/>
        </w:rPr>
        <w:t xml:space="preserve">where each strategy appears to be more </w:t>
      </w:r>
      <w:r w:rsidR="0003051A">
        <w:rPr>
          <w:rFonts w:asciiTheme="minorHAnsi" w:eastAsiaTheme="minorHAnsi" w:hAnsiTheme="minorHAnsi" w:cstheme="minorBidi"/>
          <w:lang w:val="en-US"/>
        </w:rPr>
        <w:t xml:space="preserve">suitable and more </w:t>
      </w:r>
      <w:r w:rsidR="002C4739">
        <w:rPr>
          <w:rFonts w:asciiTheme="minorHAnsi" w:eastAsiaTheme="minorHAnsi" w:hAnsiTheme="minorHAnsi" w:cstheme="minorBidi"/>
          <w:lang w:val="en-US"/>
        </w:rPr>
        <w:t>cost effective</w:t>
      </w:r>
      <w:r w:rsidR="0003051A">
        <w:rPr>
          <w:rFonts w:asciiTheme="minorHAnsi" w:eastAsiaTheme="minorHAnsi" w:hAnsiTheme="minorHAnsi" w:cstheme="minorBidi"/>
          <w:lang w:val="en-US"/>
        </w:rPr>
        <w:t xml:space="preserve"> are discussed</w:t>
      </w:r>
      <w:r w:rsidR="002C4739">
        <w:rPr>
          <w:rFonts w:asciiTheme="minorHAnsi" w:eastAsiaTheme="minorHAnsi" w:hAnsiTheme="minorHAnsi" w:cstheme="minorBidi"/>
          <w:lang w:val="en-US"/>
        </w:rPr>
        <w:t xml:space="preserve">. </w:t>
      </w:r>
      <w:r w:rsidR="0003051A">
        <w:rPr>
          <w:rFonts w:asciiTheme="minorHAnsi" w:eastAsiaTheme="minorHAnsi" w:hAnsiTheme="minorHAnsi" w:cstheme="minorBidi"/>
          <w:lang w:val="en-US"/>
        </w:rPr>
        <w:t xml:space="preserve">Furthermore, the </w:t>
      </w:r>
      <w:r w:rsidR="002C4739" w:rsidRPr="009815E1">
        <w:rPr>
          <w:rFonts w:asciiTheme="minorHAnsi" w:eastAsiaTheme="minorHAnsi" w:hAnsiTheme="minorHAnsi" w:cstheme="minorBidi"/>
          <w:lang w:val="en-US"/>
        </w:rPr>
        <w:t xml:space="preserve">results </w:t>
      </w:r>
      <w:r w:rsidR="0003051A">
        <w:rPr>
          <w:rFonts w:asciiTheme="minorHAnsi" w:eastAsiaTheme="minorHAnsi" w:hAnsiTheme="minorHAnsi" w:cstheme="minorBidi"/>
          <w:lang w:val="en-US"/>
        </w:rPr>
        <w:t xml:space="preserve">obtained </w:t>
      </w:r>
      <w:r w:rsidR="002C4739">
        <w:rPr>
          <w:rFonts w:asciiTheme="minorHAnsi" w:eastAsiaTheme="minorHAnsi" w:hAnsiTheme="minorHAnsi" w:cstheme="minorBidi"/>
          <w:lang w:val="en-US"/>
        </w:rPr>
        <w:t>indicate</w:t>
      </w:r>
      <w:r w:rsidR="0003051A">
        <w:rPr>
          <w:rFonts w:asciiTheme="minorHAnsi" w:eastAsiaTheme="minorHAnsi" w:hAnsiTheme="minorHAnsi" w:cstheme="minorBidi"/>
          <w:lang w:val="en-US"/>
        </w:rPr>
        <w:t>d</w:t>
      </w:r>
      <w:r w:rsidR="002C4739" w:rsidRPr="009815E1">
        <w:rPr>
          <w:rFonts w:asciiTheme="minorHAnsi" w:eastAsiaTheme="minorHAnsi" w:hAnsiTheme="minorHAnsi" w:cstheme="minorBidi"/>
          <w:lang w:val="en-US"/>
        </w:rPr>
        <w:t xml:space="preserve"> that the eff</w:t>
      </w:r>
      <w:r w:rsidR="0003051A">
        <w:rPr>
          <w:rFonts w:asciiTheme="minorHAnsi" w:eastAsiaTheme="minorHAnsi" w:hAnsiTheme="minorHAnsi" w:cstheme="minorBidi"/>
          <w:lang w:val="en-US"/>
        </w:rPr>
        <w:t xml:space="preserve">ectiveness of each </w:t>
      </w:r>
      <w:r w:rsidR="002C4739" w:rsidRPr="009815E1">
        <w:rPr>
          <w:rFonts w:asciiTheme="minorHAnsi" w:eastAsiaTheme="minorHAnsi" w:hAnsiTheme="minorHAnsi" w:cstheme="minorBidi"/>
          <w:lang w:val="en-US"/>
        </w:rPr>
        <w:t xml:space="preserve">strategy </w:t>
      </w:r>
      <w:r w:rsidR="0003051A">
        <w:rPr>
          <w:rFonts w:asciiTheme="minorHAnsi" w:eastAsiaTheme="minorHAnsi" w:hAnsiTheme="minorHAnsi" w:cstheme="minorBidi"/>
          <w:lang w:val="en-US"/>
        </w:rPr>
        <w:t xml:space="preserve">heavily depends on various parameters and most notably </w:t>
      </w:r>
      <w:r w:rsidR="002C4739" w:rsidRPr="009815E1">
        <w:rPr>
          <w:rFonts w:asciiTheme="minorHAnsi" w:eastAsiaTheme="minorHAnsi" w:hAnsiTheme="minorHAnsi" w:cstheme="minorBidi"/>
          <w:lang w:val="en-US"/>
        </w:rPr>
        <w:t xml:space="preserve">the geographic distribution of </w:t>
      </w:r>
      <w:r w:rsidR="002C4739">
        <w:rPr>
          <w:rFonts w:asciiTheme="minorHAnsi" w:eastAsiaTheme="minorHAnsi" w:hAnsiTheme="minorHAnsi" w:cstheme="minorBidi"/>
          <w:lang w:val="en-US"/>
        </w:rPr>
        <w:t xml:space="preserve">the </w:t>
      </w:r>
      <w:r w:rsidR="002C4739" w:rsidRPr="009815E1">
        <w:rPr>
          <w:rFonts w:asciiTheme="minorHAnsi" w:eastAsiaTheme="minorHAnsi" w:hAnsiTheme="minorHAnsi" w:cstheme="minorBidi"/>
          <w:lang w:val="en-US"/>
        </w:rPr>
        <w:t>customers</w:t>
      </w:r>
      <w:r w:rsidR="0003051A">
        <w:rPr>
          <w:rFonts w:asciiTheme="minorHAnsi" w:eastAsiaTheme="minorHAnsi" w:hAnsiTheme="minorHAnsi" w:cstheme="minorBidi"/>
          <w:lang w:val="en-US"/>
        </w:rPr>
        <w:t xml:space="preserve">, </w:t>
      </w:r>
      <w:r w:rsidR="002C4739">
        <w:rPr>
          <w:rFonts w:asciiTheme="minorHAnsi" w:hAnsiTheme="minorHAnsi"/>
          <w:lang w:val="en-US"/>
        </w:rPr>
        <w:t>the supplier-customer pair</w:t>
      </w:r>
      <w:r w:rsidR="002C4739" w:rsidRPr="002D7A0A">
        <w:rPr>
          <w:rFonts w:asciiTheme="minorHAnsi" w:hAnsiTheme="minorHAnsi"/>
          <w:lang w:val="en-US"/>
        </w:rPr>
        <w:t xml:space="preserve"> </w:t>
      </w:r>
      <w:r w:rsidR="0003051A">
        <w:rPr>
          <w:rFonts w:asciiTheme="minorHAnsi" w:hAnsiTheme="minorHAnsi"/>
          <w:lang w:val="en-US"/>
        </w:rPr>
        <w:t>proximity, and the node connectivity (or demand density)</w:t>
      </w:r>
      <w:r w:rsidR="002C4739">
        <w:rPr>
          <w:rFonts w:asciiTheme="minorHAnsi" w:hAnsiTheme="minorHAnsi"/>
          <w:lang w:val="en-US"/>
        </w:rPr>
        <w:t>.</w:t>
      </w:r>
    </w:p>
    <w:p w:rsidR="002C4739" w:rsidRPr="00F00EA5" w:rsidRDefault="009C382D" w:rsidP="00F00EA5">
      <w:pPr>
        <w:pStyle w:val="RoadefTexte"/>
        <w:spacing w:after="0" w:line="276" w:lineRule="auto"/>
        <w:ind w:firstLine="720"/>
        <w:rPr>
          <w:rFonts w:asciiTheme="minorHAnsi" w:hAnsiTheme="minorHAnsi"/>
          <w:lang w:val="en-US"/>
        </w:rPr>
      </w:pPr>
      <w:r>
        <w:rPr>
          <w:rFonts w:asciiTheme="minorHAnsi" w:eastAsiaTheme="minorHAnsi" w:hAnsiTheme="minorHAnsi" w:cstheme="minorBidi"/>
          <w:lang w:val="en-US"/>
        </w:rPr>
        <w:t>Overall,</w:t>
      </w:r>
      <w:r w:rsidR="002C4739">
        <w:rPr>
          <w:rFonts w:asciiTheme="minorHAnsi" w:eastAsiaTheme="minorHAnsi" w:hAnsiTheme="minorHAnsi" w:cstheme="minorBidi"/>
          <w:lang w:val="en-US"/>
        </w:rPr>
        <w:t xml:space="preserve"> the direct shipping </w:t>
      </w:r>
      <w:r w:rsidR="001C40EE">
        <w:rPr>
          <w:rFonts w:asciiTheme="minorHAnsi" w:eastAsiaTheme="minorHAnsi" w:hAnsiTheme="minorHAnsi" w:cstheme="minorBidi"/>
          <w:lang w:val="en-US"/>
        </w:rPr>
        <w:t xml:space="preserve">strategy </w:t>
      </w:r>
      <w:r w:rsidR="002C4739">
        <w:rPr>
          <w:rFonts w:asciiTheme="minorHAnsi" w:eastAsiaTheme="minorHAnsi" w:hAnsiTheme="minorHAnsi" w:cstheme="minorBidi"/>
          <w:lang w:val="en-US"/>
        </w:rPr>
        <w:t xml:space="preserve">incurs lower objective </w:t>
      </w:r>
      <w:r w:rsidR="001C40EE">
        <w:rPr>
          <w:rFonts w:asciiTheme="minorHAnsi" w:eastAsiaTheme="minorHAnsi" w:hAnsiTheme="minorHAnsi" w:cstheme="minorBidi"/>
          <w:lang w:val="en-US"/>
        </w:rPr>
        <w:t>function values</w:t>
      </w:r>
      <w:r w:rsidR="002C4739">
        <w:rPr>
          <w:rFonts w:asciiTheme="minorHAnsi" w:eastAsiaTheme="minorHAnsi" w:hAnsiTheme="minorHAnsi" w:cstheme="minorBidi"/>
          <w:lang w:val="en-US"/>
        </w:rPr>
        <w:t xml:space="preserve"> than the cross-docking strategy for the majority of test cases.</w:t>
      </w:r>
      <w:r w:rsidR="002C4739">
        <w:rPr>
          <w:rFonts w:asciiTheme="minorHAnsi" w:hAnsiTheme="minorHAnsi"/>
          <w:lang w:val="en-US"/>
        </w:rPr>
        <w:t xml:space="preserve"> </w:t>
      </w:r>
      <w:r w:rsidR="00E13375" w:rsidRPr="009815E1">
        <w:rPr>
          <w:rFonts w:asciiTheme="minorHAnsi" w:eastAsiaTheme="minorHAnsi" w:hAnsiTheme="minorHAnsi" w:cstheme="minorBidi"/>
          <w:lang w:val="en-US"/>
        </w:rPr>
        <w:t xml:space="preserve">More specifically, </w:t>
      </w:r>
      <w:r w:rsidR="0084316D">
        <w:rPr>
          <w:rFonts w:asciiTheme="minorHAnsi" w:hAnsiTheme="minorHAnsi"/>
          <w:lang w:val="en-US"/>
        </w:rPr>
        <w:t>t</w:t>
      </w:r>
      <w:r w:rsidR="0084316D" w:rsidRPr="002D7A0A">
        <w:rPr>
          <w:rFonts w:asciiTheme="minorHAnsi" w:hAnsiTheme="minorHAnsi"/>
          <w:lang w:val="en-US"/>
        </w:rPr>
        <w:t xml:space="preserve">he </w:t>
      </w:r>
      <w:r w:rsidR="001C40EE">
        <w:rPr>
          <w:rFonts w:asciiTheme="minorHAnsi" w:hAnsiTheme="minorHAnsi"/>
          <w:lang w:val="en-US"/>
        </w:rPr>
        <w:t xml:space="preserve">direct shipping </w:t>
      </w:r>
      <w:r w:rsidR="0084316D" w:rsidRPr="002D7A0A">
        <w:rPr>
          <w:rFonts w:asciiTheme="minorHAnsi" w:hAnsiTheme="minorHAnsi"/>
          <w:lang w:val="en-US"/>
        </w:rPr>
        <w:t xml:space="preserve">yields better results in cases where suppliers and customers are positioned </w:t>
      </w:r>
      <w:r w:rsidR="001C40EE">
        <w:rPr>
          <w:rFonts w:asciiTheme="minorHAnsi" w:hAnsiTheme="minorHAnsi"/>
          <w:lang w:val="en-US"/>
        </w:rPr>
        <w:t>into the same geographic area</w:t>
      </w:r>
      <w:r w:rsidR="0084316D" w:rsidRPr="002D7A0A">
        <w:rPr>
          <w:rFonts w:asciiTheme="minorHAnsi" w:hAnsiTheme="minorHAnsi"/>
          <w:lang w:val="en-US"/>
        </w:rPr>
        <w:t xml:space="preserve"> and suppliers </w:t>
      </w:r>
      <w:r w:rsidR="001C40EE">
        <w:rPr>
          <w:rFonts w:asciiTheme="minorHAnsi" w:hAnsiTheme="minorHAnsi"/>
          <w:lang w:val="en-US"/>
        </w:rPr>
        <w:t>(</w:t>
      </w:r>
      <w:r w:rsidR="0084316D" w:rsidRPr="002D7A0A">
        <w:rPr>
          <w:rFonts w:asciiTheme="minorHAnsi" w:hAnsiTheme="minorHAnsi"/>
          <w:lang w:val="en-US"/>
        </w:rPr>
        <w:t>and their associated customers</w:t>
      </w:r>
      <w:r w:rsidR="001C40EE">
        <w:rPr>
          <w:rFonts w:asciiTheme="minorHAnsi" w:hAnsiTheme="minorHAnsi"/>
          <w:lang w:val="en-US"/>
        </w:rPr>
        <w:t>)</w:t>
      </w:r>
      <w:r w:rsidR="0084316D" w:rsidRPr="002D7A0A">
        <w:rPr>
          <w:rFonts w:asciiTheme="minorHAnsi" w:hAnsiTheme="minorHAnsi"/>
          <w:lang w:val="en-US"/>
        </w:rPr>
        <w:t xml:space="preserve"> are </w:t>
      </w:r>
      <w:r w:rsidR="002C4739">
        <w:rPr>
          <w:rFonts w:asciiTheme="minorHAnsi" w:hAnsiTheme="minorHAnsi"/>
          <w:lang w:val="en-US"/>
        </w:rPr>
        <w:t xml:space="preserve">in close proximity </w:t>
      </w:r>
      <w:r w:rsidR="0084316D" w:rsidRPr="002D7A0A">
        <w:rPr>
          <w:rFonts w:asciiTheme="minorHAnsi" w:hAnsiTheme="minorHAnsi"/>
          <w:lang w:val="en-US"/>
        </w:rPr>
        <w:t>to each other.</w:t>
      </w:r>
      <w:r w:rsidR="009876BB">
        <w:rPr>
          <w:rFonts w:asciiTheme="minorHAnsi" w:hAnsiTheme="minorHAnsi"/>
          <w:lang w:val="en-US"/>
        </w:rPr>
        <w:t xml:space="preserve"> </w:t>
      </w:r>
      <w:r w:rsidR="0084316D" w:rsidRPr="002D7A0A">
        <w:rPr>
          <w:rFonts w:asciiTheme="minorHAnsi" w:hAnsiTheme="minorHAnsi"/>
          <w:lang w:val="en-US"/>
        </w:rPr>
        <w:t>On the other hand,</w:t>
      </w:r>
      <w:r w:rsidR="003044DA">
        <w:rPr>
          <w:rFonts w:asciiTheme="minorHAnsi" w:hAnsiTheme="minorHAnsi"/>
          <w:lang w:val="en-US"/>
        </w:rPr>
        <w:t xml:space="preserve"> </w:t>
      </w:r>
      <w:r w:rsidR="00E13375" w:rsidRPr="009815E1">
        <w:rPr>
          <w:rFonts w:asciiTheme="minorHAnsi" w:eastAsiaTheme="minorHAnsi" w:hAnsiTheme="minorHAnsi" w:cstheme="minorBidi"/>
          <w:lang w:val="en-US"/>
        </w:rPr>
        <w:t xml:space="preserve">for large </w:t>
      </w:r>
      <w:r w:rsidR="001C40EE">
        <w:rPr>
          <w:rFonts w:asciiTheme="minorHAnsi" w:hAnsiTheme="minorHAnsi"/>
          <w:lang w:val="en-US"/>
        </w:rPr>
        <w:t>supplier-customer pair</w:t>
      </w:r>
      <w:r w:rsidR="001C40EE" w:rsidRPr="002D7A0A">
        <w:rPr>
          <w:rFonts w:asciiTheme="minorHAnsi" w:hAnsiTheme="minorHAnsi"/>
          <w:lang w:val="en-US"/>
        </w:rPr>
        <w:t xml:space="preserve"> </w:t>
      </w:r>
      <w:r w:rsidR="001C40EE">
        <w:rPr>
          <w:rFonts w:asciiTheme="minorHAnsi" w:hAnsiTheme="minorHAnsi"/>
          <w:lang w:val="en-US"/>
        </w:rPr>
        <w:t>proximity</w:t>
      </w:r>
      <w:r w:rsidR="00E13375" w:rsidRPr="009815E1">
        <w:rPr>
          <w:rFonts w:asciiTheme="minorHAnsi" w:eastAsiaTheme="minorHAnsi" w:hAnsiTheme="minorHAnsi" w:cstheme="minorBidi"/>
          <w:lang w:val="en-US"/>
        </w:rPr>
        <w:t xml:space="preserve"> and </w:t>
      </w:r>
      <w:r w:rsidR="001C40EE">
        <w:rPr>
          <w:rFonts w:asciiTheme="minorHAnsi" w:eastAsiaTheme="minorHAnsi" w:hAnsiTheme="minorHAnsi" w:cstheme="minorBidi"/>
          <w:lang w:val="en-US"/>
        </w:rPr>
        <w:t>clustered distributions</w:t>
      </w:r>
      <w:r w:rsidR="00E13375" w:rsidRPr="009815E1">
        <w:rPr>
          <w:rFonts w:asciiTheme="minorHAnsi" w:eastAsiaTheme="minorHAnsi" w:hAnsiTheme="minorHAnsi" w:cstheme="minorBidi"/>
          <w:lang w:val="en-US"/>
        </w:rPr>
        <w:t xml:space="preserve">, the </w:t>
      </w:r>
      <w:bookmarkStart w:id="543" w:name="OLE_LINK141"/>
      <w:bookmarkStart w:id="544" w:name="OLE_LINK142"/>
      <w:bookmarkStart w:id="545" w:name="OLE_LINK143"/>
      <w:r w:rsidR="001C40EE">
        <w:rPr>
          <w:rFonts w:asciiTheme="minorHAnsi" w:eastAsiaTheme="minorHAnsi" w:hAnsiTheme="minorHAnsi" w:cstheme="minorBidi"/>
          <w:lang w:val="en-US"/>
        </w:rPr>
        <w:t>cross-docking strategy</w:t>
      </w:r>
      <w:r w:rsidR="00E13375" w:rsidRPr="009815E1">
        <w:rPr>
          <w:rFonts w:asciiTheme="minorHAnsi" w:eastAsiaTheme="minorHAnsi" w:hAnsiTheme="minorHAnsi" w:cstheme="minorBidi"/>
          <w:lang w:val="en-US"/>
        </w:rPr>
        <w:t xml:space="preserve"> </w:t>
      </w:r>
      <w:bookmarkEnd w:id="543"/>
      <w:bookmarkEnd w:id="544"/>
      <w:bookmarkEnd w:id="545"/>
      <w:r w:rsidR="001C40EE">
        <w:rPr>
          <w:rFonts w:asciiTheme="minorHAnsi" w:eastAsiaTheme="minorHAnsi" w:hAnsiTheme="minorHAnsi" w:cstheme="minorBidi"/>
          <w:lang w:val="en-US"/>
        </w:rPr>
        <w:t>performs better</w:t>
      </w:r>
      <w:r w:rsidR="00E13375" w:rsidRPr="002C4739">
        <w:rPr>
          <w:rFonts w:asciiTheme="minorHAnsi" w:eastAsiaTheme="minorHAnsi" w:hAnsiTheme="minorHAnsi" w:cstheme="minorBidi"/>
          <w:lang w:val="en-US"/>
        </w:rPr>
        <w:t xml:space="preserve">. </w:t>
      </w:r>
      <w:r w:rsidR="001C40EE">
        <w:rPr>
          <w:rFonts w:asciiTheme="minorHAnsi" w:eastAsiaTheme="minorHAnsi" w:hAnsiTheme="minorHAnsi" w:cstheme="minorBidi"/>
          <w:lang w:val="en-US"/>
        </w:rPr>
        <w:t xml:space="preserve">For problems with co-located nodes the cross-docking outperforms the direct shipping strategy when </w:t>
      </w:r>
      <w:r w:rsidR="00A5290C">
        <w:rPr>
          <w:rFonts w:asciiTheme="minorHAnsi" w:eastAsiaTheme="minorHAnsi" w:hAnsiTheme="minorHAnsi" w:cstheme="minorBidi"/>
          <w:lang w:val="en-US"/>
        </w:rPr>
        <w:t xml:space="preserve">the </w:t>
      </w:r>
      <w:r w:rsidR="001C40EE">
        <w:rPr>
          <w:rFonts w:asciiTheme="minorHAnsi" w:eastAsiaTheme="minorHAnsi" w:hAnsiTheme="minorHAnsi" w:cstheme="minorBidi"/>
          <w:lang w:val="en-US"/>
        </w:rPr>
        <w:t>suppliers and customers are densely connected</w:t>
      </w:r>
      <w:r w:rsidR="00AD5216">
        <w:rPr>
          <w:rFonts w:asciiTheme="minorHAnsi" w:eastAsiaTheme="minorHAnsi" w:hAnsiTheme="minorHAnsi" w:cstheme="minorBidi"/>
          <w:lang w:val="en-US"/>
        </w:rPr>
        <w:t xml:space="preserve">. </w:t>
      </w:r>
      <w:r w:rsidR="002C4739">
        <w:rPr>
          <w:rFonts w:asciiTheme="minorHAnsi" w:eastAsiaTheme="minorHAnsi" w:hAnsiTheme="minorHAnsi" w:cstheme="minorBidi"/>
          <w:lang w:val="en-US"/>
        </w:rPr>
        <w:t xml:space="preserve">Finally, the </w:t>
      </w:r>
      <w:r w:rsidR="001C40EE">
        <w:rPr>
          <w:rFonts w:asciiTheme="minorHAnsi" w:eastAsiaTheme="minorHAnsi" w:hAnsiTheme="minorHAnsi" w:cstheme="minorBidi"/>
          <w:lang w:val="en-US"/>
        </w:rPr>
        <w:t>cross-docking strategy seems more suitable when the transshipment facility is</w:t>
      </w:r>
      <w:r w:rsidR="00AD5216">
        <w:rPr>
          <w:rFonts w:asciiTheme="minorHAnsi" w:eastAsiaTheme="minorHAnsi" w:hAnsiTheme="minorHAnsi" w:cstheme="minorBidi"/>
          <w:lang w:val="en-US"/>
        </w:rPr>
        <w:t xml:space="preserve"> a centrally </w:t>
      </w:r>
      <w:r w:rsidR="001C40EE">
        <w:rPr>
          <w:rFonts w:asciiTheme="minorHAnsi" w:eastAsiaTheme="minorHAnsi" w:hAnsiTheme="minorHAnsi" w:cstheme="minorBidi"/>
          <w:lang w:val="en-US"/>
        </w:rPr>
        <w:t>located</w:t>
      </w:r>
      <w:r w:rsidR="00AD5216">
        <w:rPr>
          <w:rFonts w:asciiTheme="minorHAnsi" w:eastAsiaTheme="minorHAnsi" w:hAnsiTheme="minorHAnsi" w:cstheme="minorBidi"/>
          <w:lang w:val="en-US"/>
        </w:rPr>
        <w:t xml:space="preserve">. </w:t>
      </w:r>
    </w:p>
    <w:p w:rsidR="001C40EE" w:rsidRDefault="009C382D" w:rsidP="00F00EA5">
      <w:pPr>
        <w:pStyle w:val="RoadefTexte"/>
        <w:spacing w:line="276" w:lineRule="auto"/>
        <w:ind w:firstLine="720"/>
        <w:rPr>
          <w:rFonts w:asciiTheme="minorHAnsi" w:eastAsiaTheme="minorHAnsi" w:hAnsiTheme="minorHAnsi" w:cstheme="minorBidi"/>
          <w:lang w:val="en-US"/>
        </w:rPr>
      </w:pPr>
      <w:r>
        <w:rPr>
          <w:rFonts w:asciiTheme="minorHAnsi" w:eastAsiaTheme="minorHAnsi" w:hAnsiTheme="minorHAnsi" w:cstheme="minorBidi"/>
          <w:lang w:val="en-US"/>
        </w:rPr>
        <w:t>F</w:t>
      </w:r>
      <w:r w:rsidR="001C40EE">
        <w:rPr>
          <w:rFonts w:asciiTheme="minorHAnsi" w:eastAsiaTheme="minorHAnsi" w:hAnsiTheme="minorHAnsi" w:cstheme="minorBidi"/>
          <w:lang w:val="en-US"/>
        </w:rPr>
        <w:t>rom a managerial perspective we can draw the following conclusion. In practical cases where warehouses and industrial plants located in isolated industrial zones of the cities that serve multiple delivery locations placed in the central urban regions, the installation of cross-dock facilities in intermediate points can bring substantial routing cost savings compared to a direct shipping strategy. In setting, the selection of heavy duty large capacity vehicles can further increase the cost savings for the cross-docking strategy.</w:t>
      </w:r>
    </w:p>
    <w:p w:rsidR="00F171A4" w:rsidRDefault="00F171A4" w:rsidP="005B70EC">
      <w:pPr>
        <w:jc w:val="both"/>
        <w:rPr>
          <w:rFonts w:eastAsia="Calibri" w:cs="Times New Roman"/>
        </w:rPr>
      </w:pPr>
    </w:p>
    <w:p w:rsidR="002C4739" w:rsidRDefault="00F35775" w:rsidP="005B70EC">
      <w:pPr>
        <w:jc w:val="both"/>
        <w:rPr>
          <w:rFonts w:eastAsia="Calibri" w:cs="Times New Roman"/>
          <w:b/>
        </w:rPr>
      </w:pPr>
      <w:r w:rsidRPr="00F35775">
        <w:rPr>
          <w:rFonts w:eastAsia="Calibri" w:cs="Times New Roman"/>
          <w:b/>
        </w:rPr>
        <w:t>Acknowledgements</w:t>
      </w:r>
    </w:p>
    <w:p w:rsidR="00201E96" w:rsidRPr="0060069D" w:rsidRDefault="00201E96" w:rsidP="0060069D">
      <w:pPr>
        <w:pStyle w:val="RoadefTexte"/>
        <w:ind w:firstLine="0"/>
        <w:rPr>
          <w:rFonts w:asciiTheme="minorHAnsi" w:hAnsiTheme="minorHAnsi"/>
          <w:lang w:val="en-US"/>
        </w:rPr>
      </w:pPr>
      <w:r w:rsidRPr="00DF68B7">
        <w:rPr>
          <w:rFonts w:asciiTheme="minorHAnsi" w:hAnsiTheme="minorHAnsi"/>
          <w:lang w:val="en-US"/>
        </w:rPr>
        <w:t>This work was supported by the ΙΚΥ fellowships of excellence for postgraduate studies in Greece – Siemens program.</w:t>
      </w:r>
    </w:p>
    <w:p w:rsidR="00C9105E" w:rsidRPr="00392B10" w:rsidRDefault="00C9105E" w:rsidP="00D204A3">
      <w:pPr>
        <w:jc w:val="both"/>
        <w:outlineLvl w:val="0"/>
        <w:rPr>
          <w:rFonts w:eastAsia="Calibri" w:cs="Times New Roman"/>
          <w:b/>
        </w:rPr>
      </w:pPr>
      <w:bookmarkStart w:id="546" w:name="OLE_LINK926"/>
      <w:bookmarkStart w:id="547" w:name="OLE_LINK927"/>
      <w:r w:rsidRPr="00392B10">
        <w:rPr>
          <w:rFonts w:eastAsia="Calibri" w:cs="Times New Roman"/>
          <w:b/>
        </w:rPr>
        <w:t>References</w:t>
      </w:r>
    </w:p>
    <w:p w:rsidR="00E74091" w:rsidRPr="00392B10" w:rsidRDefault="00E74091" w:rsidP="005B70EC">
      <w:pPr>
        <w:jc w:val="both"/>
        <w:rPr>
          <w:rFonts w:eastAsia="Calibri" w:cs="Times New Roman"/>
        </w:rPr>
      </w:pPr>
      <w:r w:rsidRPr="00392B10">
        <w:rPr>
          <w:rFonts w:eastAsia="Calibri" w:cs="Times New Roman"/>
        </w:rPr>
        <w:t>Bent</w:t>
      </w:r>
      <w:r w:rsidR="005B1016" w:rsidRPr="00392B10">
        <w:rPr>
          <w:rFonts w:eastAsia="Calibri" w:cs="Times New Roman"/>
        </w:rPr>
        <w:t>,</w:t>
      </w:r>
      <w:r w:rsidRPr="00392B10">
        <w:rPr>
          <w:rFonts w:eastAsia="Calibri" w:cs="Times New Roman"/>
        </w:rPr>
        <w:t xml:space="preserve"> R</w:t>
      </w:r>
      <w:r w:rsidR="005B1016" w:rsidRPr="00392B10">
        <w:rPr>
          <w:rFonts w:eastAsia="Calibri" w:cs="Times New Roman"/>
        </w:rPr>
        <w:t>.</w:t>
      </w:r>
      <w:bookmarkStart w:id="548" w:name="OLE_LINK197"/>
      <w:bookmarkStart w:id="549" w:name="OLE_LINK231"/>
      <w:r w:rsidR="00F13593">
        <w:rPr>
          <w:rFonts w:eastAsia="Calibri" w:cs="Times New Roman"/>
        </w:rPr>
        <w:t xml:space="preserve"> and </w:t>
      </w:r>
      <w:r w:rsidRPr="00392B10">
        <w:rPr>
          <w:rFonts w:eastAsia="Calibri" w:cs="Times New Roman"/>
        </w:rPr>
        <w:t xml:space="preserve">Van </w:t>
      </w:r>
      <w:proofErr w:type="spellStart"/>
      <w:r w:rsidRPr="00392B10">
        <w:rPr>
          <w:rFonts w:eastAsia="Calibri" w:cs="Times New Roman"/>
        </w:rPr>
        <w:t>Hentenryck</w:t>
      </w:r>
      <w:proofErr w:type="spellEnd"/>
      <w:r w:rsidR="005B1016" w:rsidRPr="00392B10">
        <w:rPr>
          <w:rFonts w:eastAsia="Calibri" w:cs="Times New Roman"/>
        </w:rPr>
        <w:t>,</w:t>
      </w:r>
      <w:r w:rsidRPr="00392B10">
        <w:rPr>
          <w:rFonts w:eastAsia="Calibri" w:cs="Times New Roman"/>
        </w:rPr>
        <w:t xml:space="preserve"> </w:t>
      </w:r>
      <w:bookmarkEnd w:id="548"/>
      <w:bookmarkEnd w:id="549"/>
      <w:r w:rsidRPr="00392B10">
        <w:rPr>
          <w:rFonts w:eastAsia="Calibri" w:cs="Times New Roman"/>
        </w:rPr>
        <w:t>P</w:t>
      </w:r>
      <w:r w:rsidR="005B1016" w:rsidRPr="00392B10">
        <w:rPr>
          <w:rFonts w:eastAsia="Calibri" w:cs="Times New Roman"/>
        </w:rPr>
        <w:t xml:space="preserve">. </w:t>
      </w:r>
      <w:r w:rsidRPr="00392B10">
        <w:rPr>
          <w:rFonts w:eastAsia="Calibri" w:cs="Times New Roman"/>
        </w:rPr>
        <w:t>(2006)</w:t>
      </w:r>
      <w:r w:rsidR="005B1016" w:rsidRPr="00392B10">
        <w:rPr>
          <w:rFonts w:eastAsia="Calibri" w:cs="Times New Roman"/>
        </w:rPr>
        <w:t>,</w:t>
      </w:r>
      <w:r w:rsidRPr="00392B10">
        <w:rPr>
          <w:rFonts w:eastAsia="Calibri" w:cs="Times New Roman"/>
        </w:rPr>
        <w:t xml:space="preserve"> </w:t>
      </w:r>
      <w:r w:rsidR="005B1016" w:rsidRPr="00392B10">
        <w:rPr>
          <w:rFonts w:eastAsia="Calibri" w:cs="Times New Roman"/>
        </w:rPr>
        <w:t>“</w:t>
      </w:r>
      <w:r w:rsidRPr="00392B10">
        <w:rPr>
          <w:rFonts w:eastAsia="Calibri" w:cs="Times New Roman"/>
        </w:rPr>
        <w:t>A two-stage hybrid algorithm for pickup and delivery vehicle routing problems with time windows</w:t>
      </w:r>
      <w:bookmarkStart w:id="550" w:name="OLE_LINK420"/>
      <w:r w:rsidR="005B1016" w:rsidRPr="00392B10">
        <w:rPr>
          <w:rFonts w:eastAsia="Calibri" w:cs="Times New Roman"/>
        </w:rPr>
        <w:t xml:space="preserve">”, </w:t>
      </w:r>
      <w:r w:rsidRPr="00D045A2">
        <w:rPr>
          <w:rFonts w:eastAsia="Calibri" w:cs="Times New Roman"/>
          <w:i/>
        </w:rPr>
        <w:t>Comput</w:t>
      </w:r>
      <w:r w:rsidR="005B1016" w:rsidRPr="00D045A2">
        <w:rPr>
          <w:rFonts w:eastAsia="Calibri" w:cs="Times New Roman"/>
          <w:i/>
        </w:rPr>
        <w:t>ers and</w:t>
      </w:r>
      <w:r w:rsidRPr="00D045A2">
        <w:rPr>
          <w:rFonts w:eastAsia="Calibri" w:cs="Times New Roman"/>
          <w:i/>
        </w:rPr>
        <w:t xml:space="preserve"> Oper</w:t>
      </w:r>
      <w:r w:rsidR="005B1016" w:rsidRPr="00D045A2">
        <w:rPr>
          <w:rFonts w:eastAsia="Calibri" w:cs="Times New Roman"/>
          <w:i/>
        </w:rPr>
        <w:t>ations</w:t>
      </w:r>
      <w:r w:rsidRPr="00D045A2">
        <w:rPr>
          <w:rFonts w:eastAsia="Calibri" w:cs="Times New Roman"/>
          <w:i/>
        </w:rPr>
        <w:t xml:space="preserve"> Res</w:t>
      </w:r>
      <w:r w:rsidR="005B1016" w:rsidRPr="00D045A2">
        <w:rPr>
          <w:rFonts w:eastAsia="Calibri" w:cs="Times New Roman"/>
          <w:i/>
        </w:rPr>
        <w:t>earch</w:t>
      </w:r>
      <w:r w:rsidR="005B1016" w:rsidRPr="00392B10">
        <w:rPr>
          <w:rFonts w:eastAsia="Calibri" w:cs="Times New Roman"/>
        </w:rPr>
        <w:t xml:space="preserve">, </w:t>
      </w:r>
      <w:bookmarkStart w:id="551" w:name="OLE_LINK421"/>
      <w:bookmarkStart w:id="552" w:name="OLE_LINK424"/>
      <w:bookmarkStart w:id="553" w:name="OLE_LINK425"/>
      <w:bookmarkStart w:id="554" w:name="OLE_LINK429"/>
      <w:bookmarkStart w:id="555" w:name="OLE_LINK430"/>
      <w:bookmarkStart w:id="556" w:name="OLE_LINK431"/>
      <w:bookmarkStart w:id="557" w:name="OLE_LINK432"/>
      <w:bookmarkStart w:id="558" w:name="OLE_LINK438"/>
      <w:r w:rsidR="005B1016" w:rsidRPr="00392B10">
        <w:rPr>
          <w:rFonts w:eastAsia="Calibri" w:cs="Times New Roman"/>
        </w:rPr>
        <w:t xml:space="preserve">Vol. </w:t>
      </w:r>
      <w:bookmarkEnd w:id="551"/>
      <w:bookmarkEnd w:id="552"/>
      <w:bookmarkEnd w:id="553"/>
      <w:bookmarkEnd w:id="554"/>
      <w:bookmarkEnd w:id="555"/>
      <w:bookmarkEnd w:id="556"/>
      <w:bookmarkEnd w:id="557"/>
      <w:bookmarkEnd w:id="558"/>
      <w:r w:rsidR="005B1016" w:rsidRPr="00392B10">
        <w:rPr>
          <w:rFonts w:eastAsia="Calibri" w:cs="Times New Roman"/>
        </w:rPr>
        <w:t xml:space="preserve">33, pp </w:t>
      </w:r>
      <w:bookmarkEnd w:id="550"/>
      <w:r w:rsidRPr="00392B10">
        <w:rPr>
          <w:rFonts w:eastAsia="Calibri" w:cs="Times New Roman"/>
        </w:rPr>
        <w:t>875–893</w:t>
      </w:r>
      <w:r w:rsidR="005B1016" w:rsidRPr="00392B10">
        <w:rPr>
          <w:rFonts w:eastAsia="Calibri" w:cs="Times New Roman"/>
        </w:rPr>
        <w:t>.</w:t>
      </w:r>
    </w:p>
    <w:p w:rsidR="000153FA" w:rsidRPr="00392B10" w:rsidRDefault="00F13593" w:rsidP="000153FA">
      <w:pPr>
        <w:spacing w:after="0" w:line="240" w:lineRule="auto"/>
        <w:jc w:val="both"/>
        <w:rPr>
          <w:rFonts w:eastAsia="Calibri" w:cs="Times New Roman"/>
        </w:rPr>
      </w:pPr>
      <w:proofErr w:type="spellStart"/>
      <w:r>
        <w:rPr>
          <w:rFonts w:eastAsia="Calibri" w:cs="Times New Roman"/>
        </w:rPr>
        <w:t>Cordeau</w:t>
      </w:r>
      <w:proofErr w:type="spellEnd"/>
      <w:r>
        <w:rPr>
          <w:rFonts w:eastAsia="Calibri" w:cs="Times New Roman"/>
        </w:rPr>
        <w:t xml:space="preserve">, J.F., </w:t>
      </w:r>
      <w:proofErr w:type="spellStart"/>
      <w:r>
        <w:rPr>
          <w:rFonts w:eastAsia="Calibri" w:cs="Times New Roman"/>
        </w:rPr>
        <w:t>Laporte</w:t>
      </w:r>
      <w:proofErr w:type="spellEnd"/>
      <w:r>
        <w:rPr>
          <w:rFonts w:eastAsia="Calibri" w:cs="Times New Roman"/>
        </w:rPr>
        <w:t>, G. and</w:t>
      </w:r>
      <w:r w:rsidR="000153FA" w:rsidRPr="00392B10">
        <w:rPr>
          <w:rFonts w:eastAsia="Calibri" w:cs="Times New Roman"/>
        </w:rPr>
        <w:t xml:space="preserve"> </w:t>
      </w:r>
      <w:proofErr w:type="spellStart"/>
      <w:r w:rsidR="000153FA" w:rsidRPr="00392B10">
        <w:rPr>
          <w:rFonts w:eastAsia="Calibri" w:cs="Times New Roman"/>
        </w:rPr>
        <w:t>Ropke</w:t>
      </w:r>
      <w:proofErr w:type="spellEnd"/>
      <w:r w:rsidR="000153FA" w:rsidRPr="00392B10">
        <w:rPr>
          <w:rFonts w:eastAsia="Calibri" w:cs="Times New Roman"/>
        </w:rPr>
        <w:t xml:space="preserve">, S. (2008), “Recent models and algorithms for one-to-one pickup and delivery problems”. In: Golden, B., </w:t>
      </w:r>
      <w:proofErr w:type="spellStart"/>
      <w:r w:rsidR="000153FA" w:rsidRPr="00392B10">
        <w:rPr>
          <w:rFonts w:eastAsia="Calibri" w:cs="Times New Roman"/>
        </w:rPr>
        <w:t>Raghavan</w:t>
      </w:r>
      <w:proofErr w:type="spellEnd"/>
      <w:r w:rsidR="000153FA" w:rsidRPr="00392B10">
        <w:rPr>
          <w:rFonts w:eastAsia="Calibri" w:cs="Times New Roman"/>
        </w:rPr>
        <w:t xml:space="preserve">, R., and </w:t>
      </w:r>
      <w:proofErr w:type="spellStart"/>
      <w:r w:rsidR="000153FA" w:rsidRPr="00392B10">
        <w:rPr>
          <w:rFonts w:eastAsia="Calibri" w:cs="Times New Roman"/>
        </w:rPr>
        <w:t>Wasil</w:t>
      </w:r>
      <w:proofErr w:type="spellEnd"/>
      <w:r w:rsidR="000153FA" w:rsidRPr="00392B10">
        <w:rPr>
          <w:rFonts w:eastAsia="Calibri" w:cs="Times New Roman"/>
        </w:rPr>
        <w:t xml:space="preserve">, E., (Ed.), </w:t>
      </w:r>
      <w:r w:rsidR="000153FA" w:rsidRPr="00A61AF8">
        <w:rPr>
          <w:rFonts w:eastAsia="Calibri" w:cs="Times New Roman"/>
          <w:i/>
        </w:rPr>
        <w:t>The Vehicle Routing Problem: Latest Advances and New Challenges</w:t>
      </w:r>
      <w:r w:rsidR="000153FA" w:rsidRPr="00392B10">
        <w:rPr>
          <w:rFonts w:eastAsia="Calibri" w:cs="Times New Roman"/>
        </w:rPr>
        <w:t>, Springer, Heidelberg, pp. 327–357.</w:t>
      </w:r>
    </w:p>
    <w:p w:rsidR="000153FA" w:rsidRPr="00392B10" w:rsidRDefault="000153FA" w:rsidP="000153FA">
      <w:pPr>
        <w:spacing w:after="0" w:line="240" w:lineRule="auto"/>
        <w:jc w:val="both"/>
        <w:rPr>
          <w:rFonts w:eastAsia="Calibri" w:cs="Times New Roman"/>
        </w:rPr>
      </w:pPr>
    </w:p>
    <w:p w:rsidR="000153FA" w:rsidRDefault="000153FA" w:rsidP="000153FA">
      <w:pPr>
        <w:spacing w:after="0" w:line="240" w:lineRule="auto"/>
        <w:jc w:val="both"/>
        <w:rPr>
          <w:rFonts w:eastAsia="Calibri" w:cs="Times New Roman"/>
        </w:rPr>
      </w:pPr>
      <w:r w:rsidRPr="00392B10">
        <w:rPr>
          <w:rFonts w:eastAsia="Calibri" w:cs="Times New Roman"/>
        </w:rPr>
        <w:t xml:space="preserve">Cortes, C.E., </w:t>
      </w:r>
      <w:proofErr w:type="spellStart"/>
      <w:r w:rsidRPr="00392B10">
        <w:rPr>
          <w:rFonts w:eastAsia="Calibri" w:cs="Times New Roman"/>
        </w:rPr>
        <w:t>Matamala</w:t>
      </w:r>
      <w:proofErr w:type="spellEnd"/>
      <w:r w:rsidRPr="00392B10">
        <w:rPr>
          <w:rFonts w:eastAsia="Calibri" w:cs="Times New Roman"/>
        </w:rPr>
        <w:t xml:space="preserve">, M. and </w:t>
      </w:r>
      <w:proofErr w:type="spellStart"/>
      <w:r w:rsidRPr="00392B10">
        <w:rPr>
          <w:rFonts w:eastAsia="Calibri" w:cs="Times New Roman"/>
        </w:rPr>
        <w:t>Contardo</w:t>
      </w:r>
      <w:proofErr w:type="spellEnd"/>
      <w:r>
        <w:rPr>
          <w:rFonts w:eastAsia="Calibri" w:cs="Times New Roman"/>
        </w:rPr>
        <w:t>, C.</w:t>
      </w:r>
      <w:r w:rsidRPr="00392B10">
        <w:rPr>
          <w:rFonts w:eastAsia="Calibri" w:cs="Times New Roman"/>
        </w:rPr>
        <w:t xml:space="preserve"> (2010), “The pickup and delivery problem with transfers: Formulation and a branch-and-cut solution method”, </w:t>
      </w:r>
      <w:r w:rsidRPr="00D045A2">
        <w:rPr>
          <w:rFonts w:eastAsia="Calibri" w:cs="Times New Roman"/>
          <w:i/>
        </w:rPr>
        <w:t>European Journal of Operational Research</w:t>
      </w:r>
      <w:r w:rsidRPr="00392B10">
        <w:rPr>
          <w:rFonts w:eastAsia="Calibri" w:cs="Times New Roman"/>
        </w:rPr>
        <w:t>, Vol. 200 No. 3, pp. 711-724.</w:t>
      </w:r>
    </w:p>
    <w:p w:rsidR="000153FA" w:rsidRDefault="000153FA" w:rsidP="000153FA">
      <w:pPr>
        <w:spacing w:after="0" w:line="240" w:lineRule="auto"/>
        <w:jc w:val="both"/>
        <w:rPr>
          <w:rFonts w:eastAsia="Calibri" w:cs="Times New Roman"/>
        </w:rPr>
      </w:pPr>
    </w:p>
    <w:p w:rsidR="0060069D" w:rsidRDefault="0060069D" w:rsidP="0060069D">
      <w:pPr>
        <w:spacing w:after="0" w:line="240" w:lineRule="auto"/>
        <w:jc w:val="both"/>
        <w:rPr>
          <w:rFonts w:eastAsia="Calibri" w:cs="Times New Roman"/>
        </w:rPr>
      </w:pPr>
      <w:r>
        <w:lastRenderedPageBreak/>
        <w:t xml:space="preserve">Dumas, Y., </w:t>
      </w:r>
      <w:proofErr w:type="spellStart"/>
      <w:r>
        <w:t>Desrosiers</w:t>
      </w:r>
      <w:proofErr w:type="spellEnd"/>
      <w:r>
        <w:t xml:space="preserve">, J. and </w:t>
      </w:r>
      <w:proofErr w:type="spellStart"/>
      <w:r>
        <w:t>Soumis</w:t>
      </w:r>
      <w:proofErr w:type="spellEnd"/>
      <w:r>
        <w:t xml:space="preserve">, F. (1991), “The Pickup and Delivery Problem with Time Windows” </w:t>
      </w:r>
      <w:r w:rsidRPr="0060069D">
        <w:rPr>
          <w:i/>
        </w:rPr>
        <w:t>European Journal of Operational Research</w:t>
      </w:r>
      <w:r>
        <w:t xml:space="preserve">, </w:t>
      </w:r>
      <w:r w:rsidRPr="00392B10">
        <w:rPr>
          <w:rFonts w:eastAsia="Calibri" w:cs="Times New Roman"/>
        </w:rPr>
        <w:t xml:space="preserve">Vol. </w:t>
      </w:r>
      <w:r>
        <w:rPr>
          <w:rFonts w:eastAsia="Calibri" w:cs="Times New Roman"/>
        </w:rPr>
        <w:t>54</w:t>
      </w:r>
      <w:r w:rsidRPr="00392B10">
        <w:rPr>
          <w:rFonts w:eastAsia="Calibri" w:cs="Times New Roman"/>
        </w:rPr>
        <w:t xml:space="preserve">, pp. </w:t>
      </w:r>
      <w:r>
        <w:t>7–22</w:t>
      </w:r>
      <w:r w:rsidRPr="00392B10">
        <w:rPr>
          <w:rFonts w:eastAsia="Calibri" w:cs="Times New Roman"/>
        </w:rPr>
        <w:t>.</w:t>
      </w:r>
    </w:p>
    <w:p w:rsidR="0060069D" w:rsidRDefault="0060069D" w:rsidP="000153FA">
      <w:pPr>
        <w:spacing w:after="0" w:line="240" w:lineRule="auto"/>
        <w:jc w:val="both"/>
        <w:rPr>
          <w:rFonts w:eastAsia="Calibri" w:cs="Times New Roman"/>
        </w:rPr>
      </w:pPr>
    </w:p>
    <w:p w:rsidR="000153FA" w:rsidRPr="00392B10" w:rsidRDefault="000153FA" w:rsidP="000153FA">
      <w:pPr>
        <w:jc w:val="both"/>
        <w:rPr>
          <w:rFonts w:eastAsia="Calibri" w:cs="Times New Roman"/>
        </w:rPr>
      </w:pPr>
      <w:r>
        <w:rPr>
          <w:rFonts w:eastAsia="Calibri" w:cs="Times New Roman"/>
        </w:rPr>
        <w:t>Lee, Y.H., Jung, J.W. and</w:t>
      </w:r>
      <w:r w:rsidRPr="00E5609C">
        <w:rPr>
          <w:rFonts w:eastAsia="Calibri" w:cs="Times New Roman"/>
        </w:rPr>
        <w:t xml:space="preserve"> Lee, K.M. (2006)</w:t>
      </w:r>
      <w:proofErr w:type="gramStart"/>
      <w:r>
        <w:rPr>
          <w:rFonts w:eastAsia="Calibri" w:cs="Times New Roman"/>
        </w:rPr>
        <w:t>, ”</w:t>
      </w:r>
      <w:proofErr w:type="gramEnd"/>
      <w:r w:rsidRPr="00E5609C">
        <w:rPr>
          <w:rFonts w:eastAsia="Calibri" w:cs="Times New Roman"/>
        </w:rPr>
        <w:t>Vehicle routing scheduling for cross-docking in the supply chain</w:t>
      </w:r>
      <w:r>
        <w:rPr>
          <w:rFonts w:eastAsia="Calibri" w:cs="Times New Roman"/>
        </w:rPr>
        <w:t xml:space="preserve">”, </w:t>
      </w:r>
      <w:r w:rsidR="00D045A2" w:rsidRPr="00D045A2">
        <w:rPr>
          <w:rFonts w:eastAsia="Calibri" w:cs="Times New Roman"/>
          <w:i/>
        </w:rPr>
        <w:t>Computers and  Industrial Engineering</w:t>
      </w:r>
      <w:r>
        <w:rPr>
          <w:rFonts w:eastAsia="Calibri" w:cs="Times New Roman"/>
        </w:rPr>
        <w:t>,</w:t>
      </w:r>
      <w:r w:rsidRPr="00E5609C">
        <w:rPr>
          <w:rFonts w:eastAsia="Calibri" w:cs="Times New Roman"/>
        </w:rPr>
        <w:t xml:space="preserve"> </w:t>
      </w:r>
      <w:r w:rsidRPr="00392B10">
        <w:rPr>
          <w:rFonts w:eastAsia="Calibri" w:cs="Times New Roman"/>
        </w:rPr>
        <w:t>Vol. 5</w:t>
      </w:r>
      <w:r>
        <w:rPr>
          <w:rFonts w:eastAsia="Calibri" w:cs="Times New Roman"/>
        </w:rPr>
        <w:t>1</w:t>
      </w:r>
      <w:r w:rsidRPr="00392B10">
        <w:rPr>
          <w:rFonts w:eastAsia="Calibri" w:cs="Times New Roman"/>
        </w:rPr>
        <w:t xml:space="preserve"> No. 2, pp. </w:t>
      </w:r>
      <w:r w:rsidRPr="00E5609C">
        <w:rPr>
          <w:rFonts w:eastAsia="Calibri" w:cs="Times New Roman"/>
        </w:rPr>
        <w:t>247–256</w:t>
      </w:r>
      <w:r w:rsidRPr="00392B10">
        <w:rPr>
          <w:rFonts w:eastAsia="Calibri" w:cs="Times New Roman"/>
        </w:rPr>
        <w:t>.</w:t>
      </w:r>
    </w:p>
    <w:p w:rsidR="000153FA" w:rsidRDefault="000153FA" w:rsidP="000153FA">
      <w:pPr>
        <w:spacing w:after="0" w:line="240" w:lineRule="auto"/>
        <w:jc w:val="both"/>
        <w:rPr>
          <w:rFonts w:eastAsia="Calibri" w:cs="Times New Roman"/>
        </w:rPr>
      </w:pPr>
      <w:r w:rsidRPr="00392B10">
        <w:rPr>
          <w:rFonts w:eastAsia="Calibri" w:cs="Times New Roman"/>
        </w:rPr>
        <w:t xml:space="preserve">Li, H. and Lim., A., (2001), “A metaheuristic for the pickup and delivery problem with time windows”, </w:t>
      </w:r>
      <w:r>
        <w:t xml:space="preserve">in </w:t>
      </w:r>
      <w:r w:rsidRPr="00A61AF8">
        <w:rPr>
          <w:i/>
        </w:rPr>
        <w:t>Proc</w:t>
      </w:r>
      <w:r w:rsidR="00A61AF8" w:rsidRPr="00A61AF8">
        <w:rPr>
          <w:i/>
        </w:rPr>
        <w:t>eedings</w:t>
      </w:r>
      <w:r w:rsidRPr="00A61AF8">
        <w:rPr>
          <w:i/>
        </w:rPr>
        <w:t xml:space="preserve"> of the Int</w:t>
      </w:r>
      <w:r w:rsidR="00A61AF8" w:rsidRPr="00A61AF8">
        <w:rPr>
          <w:i/>
        </w:rPr>
        <w:t>ernational</w:t>
      </w:r>
      <w:r w:rsidRPr="00A61AF8">
        <w:rPr>
          <w:i/>
        </w:rPr>
        <w:t xml:space="preserve"> Conf</w:t>
      </w:r>
      <w:r w:rsidR="00A61AF8" w:rsidRPr="00A61AF8">
        <w:rPr>
          <w:i/>
        </w:rPr>
        <w:t>erence</w:t>
      </w:r>
      <w:r w:rsidRPr="00A61AF8">
        <w:rPr>
          <w:i/>
        </w:rPr>
        <w:t xml:space="preserve"> on Tools with Artificial Intelligence</w:t>
      </w:r>
      <w:r w:rsidRPr="00392B10">
        <w:rPr>
          <w:rFonts w:eastAsia="Calibri" w:cs="Times New Roman"/>
        </w:rPr>
        <w:t>, pp. 160–167</w:t>
      </w:r>
      <w:r>
        <w:rPr>
          <w:rFonts w:eastAsia="Calibri" w:cs="Times New Roman"/>
        </w:rPr>
        <w:t>,</w:t>
      </w:r>
      <w:r w:rsidRPr="00392B10">
        <w:rPr>
          <w:rFonts w:eastAsia="Calibri" w:cs="Times New Roman"/>
        </w:rPr>
        <w:t xml:space="preserve"> </w:t>
      </w:r>
      <w:r>
        <w:t>IEEE.</w:t>
      </w:r>
      <w:r w:rsidRPr="00392B10">
        <w:rPr>
          <w:rFonts w:eastAsia="Calibri" w:cs="Times New Roman"/>
        </w:rPr>
        <w:t xml:space="preserve"> </w:t>
      </w:r>
    </w:p>
    <w:p w:rsidR="000153FA" w:rsidRDefault="000153FA" w:rsidP="000153FA">
      <w:pPr>
        <w:spacing w:after="0" w:line="240" w:lineRule="auto"/>
        <w:jc w:val="both"/>
        <w:rPr>
          <w:rFonts w:eastAsia="Calibri" w:cs="Times New Roman"/>
        </w:rPr>
      </w:pPr>
    </w:p>
    <w:p w:rsidR="000153FA" w:rsidRPr="00392B10" w:rsidRDefault="000153FA" w:rsidP="000153FA">
      <w:pPr>
        <w:spacing w:after="0" w:line="240" w:lineRule="auto"/>
        <w:jc w:val="both"/>
        <w:rPr>
          <w:rFonts w:eastAsia="Calibri" w:cs="Times New Roman"/>
        </w:rPr>
      </w:pPr>
      <w:r w:rsidRPr="00392B10">
        <w:rPr>
          <w:rFonts w:eastAsia="Calibri" w:cs="Times New Roman"/>
        </w:rPr>
        <w:t xml:space="preserve">Masson, R., </w:t>
      </w:r>
      <w:proofErr w:type="spellStart"/>
      <w:r w:rsidRPr="00392B10">
        <w:rPr>
          <w:rFonts w:eastAsia="Calibri" w:cs="Times New Roman"/>
        </w:rPr>
        <w:t>Lehuede</w:t>
      </w:r>
      <w:proofErr w:type="spellEnd"/>
      <w:r w:rsidRPr="00392B10">
        <w:rPr>
          <w:rFonts w:eastAsia="Calibri" w:cs="Times New Roman"/>
        </w:rPr>
        <w:t xml:space="preserve">, F. and </w:t>
      </w:r>
      <w:proofErr w:type="spellStart"/>
      <w:r w:rsidRPr="00392B10">
        <w:rPr>
          <w:rFonts w:eastAsia="Calibri" w:cs="Times New Roman"/>
        </w:rPr>
        <w:t>Peton</w:t>
      </w:r>
      <w:proofErr w:type="spellEnd"/>
      <w:r>
        <w:rPr>
          <w:rFonts w:eastAsia="Calibri" w:cs="Times New Roman"/>
        </w:rPr>
        <w:t>, O.</w:t>
      </w:r>
      <w:r w:rsidRPr="00392B10">
        <w:rPr>
          <w:rFonts w:eastAsia="Calibri" w:cs="Times New Roman"/>
        </w:rPr>
        <w:t xml:space="preserve"> </w:t>
      </w:r>
      <w:r>
        <w:rPr>
          <w:rFonts w:eastAsia="Calibri" w:cs="Times New Roman"/>
        </w:rPr>
        <w:t xml:space="preserve">(2013), </w:t>
      </w:r>
      <w:r w:rsidRPr="00392B10">
        <w:rPr>
          <w:rFonts w:eastAsia="Calibri" w:cs="Times New Roman"/>
        </w:rPr>
        <w:t>“An adaptive large neighborhood search for the pickup and delivery problem with transfers</w:t>
      </w:r>
      <w:r>
        <w:rPr>
          <w:rFonts w:eastAsia="Calibri" w:cs="Times New Roman"/>
        </w:rPr>
        <w:t>”</w:t>
      </w:r>
      <w:r w:rsidRPr="00392B10">
        <w:rPr>
          <w:rFonts w:eastAsia="Calibri" w:cs="Times New Roman"/>
        </w:rPr>
        <w:t xml:space="preserve">, </w:t>
      </w:r>
      <w:r w:rsidRPr="00D045A2">
        <w:rPr>
          <w:i/>
        </w:rPr>
        <w:t>Transportation Science</w:t>
      </w:r>
      <w:r>
        <w:t xml:space="preserve">, </w:t>
      </w:r>
      <w:r w:rsidRPr="00392B10">
        <w:rPr>
          <w:rFonts w:eastAsia="Calibri" w:cs="Times New Roman"/>
        </w:rPr>
        <w:t xml:space="preserve">Vol. </w:t>
      </w:r>
      <w:r>
        <w:rPr>
          <w:rFonts w:eastAsia="Calibri" w:cs="Times New Roman"/>
        </w:rPr>
        <w:t>47</w:t>
      </w:r>
      <w:r w:rsidRPr="00392B10">
        <w:rPr>
          <w:rFonts w:eastAsia="Calibri" w:cs="Times New Roman"/>
        </w:rPr>
        <w:t xml:space="preserve"> No. 3, pp. </w:t>
      </w:r>
      <w:r>
        <w:t>344–355</w:t>
      </w:r>
      <w:r w:rsidRPr="00392B10">
        <w:rPr>
          <w:rFonts w:eastAsia="Calibri" w:cs="Times New Roman"/>
        </w:rPr>
        <w:t>.</w:t>
      </w:r>
    </w:p>
    <w:p w:rsidR="000153FA" w:rsidRPr="00392B10" w:rsidRDefault="000153FA" w:rsidP="000153FA">
      <w:pPr>
        <w:spacing w:after="0" w:line="240" w:lineRule="auto"/>
        <w:jc w:val="both"/>
        <w:rPr>
          <w:rFonts w:eastAsia="Calibri" w:cs="Times New Roman"/>
        </w:rPr>
      </w:pPr>
    </w:p>
    <w:p w:rsidR="000153FA" w:rsidRPr="00392B10" w:rsidRDefault="000153FA" w:rsidP="000153FA">
      <w:pPr>
        <w:spacing w:after="0" w:line="240" w:lineRule="auto"/>
        <w:jc w:val="both"/>
        <w:rPr>
          <w:rFonts w:eastAsia="Calibri" w:cs="Times New Roman"/>
        </w:rPr>
      </w:pPr>
      <w:r w:rsidRPr="00392B10">
        <w:rPr>
          <w:rFonts w:eastAsia="Calibri" w:cs="Times New Roman"/>
        </w:rPr>
        <w:t xml:space="preserve">Miao, Z., Yang, F., Fu, K. and </w:t>
      </w:r>
      <w:proofErr w:type="spellStart"/>
      <w:r>
        <w:rPr>
          <w:rFonts w:eastAsia="Calibri" w:cs="Times New Roman"/>
        </w:rPr>
        <w:t>Xu</w:t>
      </w:r>
      <w:proofErr w:type="spellEnd"/>
      <w:r>
        <w:rPr>
          <w:rFonts w:eastAsia="Calibri" w:cs="Times New Roman"/>
        </w:rPr>
        <w:t>, D.</w:t>
      </w:r>
      <w:r w:rsidRPr="00392B10">
        <w:rPr>
          <w:rFonts w:eastAsia="Calibri" w:cs="Times New Roman"/>
        </w:rPr>
        <w:t xml:space="preserve"> (2010), “</w:t>
      </w:r>
      <w:hyperlink r:id="rId37" w:tooltip="Transshipment service through crossdocks with both soft and hard time windows" w:history="1">
        <w:r w:rsidRPr="00392B10">
          <w:rPr>
            <w:rFonts w:eastAsia="Calibri" w:cs="Times New Roman"/>
          </w:rPr>
          <w:t>Transshipment service through cross-docks with both soft and hard time windows</w:t>
        </w:r>
      </w:hyperlink>
      <w:r w:rsidRPr="00392B10">
        <w:rPr>
          <w:rFonts w:eastAsia="Calibri" w:cs="Times New Roman"/>
        </w:rPr>
        <w:t xml:space="preserve">, </w:t>
      </w:r>
      <w:r w:rsidRPr="00D045A2">
        <w:rPr>
          <w:rFonts w:eastAsia="Calibri" w:cs="Times New Roman"/>
          <w:i/>
        </w:rPr>
        <w:t>Annals of Operations Research</w:t>
      </w:r>
      <w:r w:rsidRPr="00392B10">
        <w:rPr>
          <w:rFonts w:eastAsia="Calibri" w:cs="Times New Roman"/>
        </w:rPr>
        <w:t xml:space="preserve">, </w:t>
      </w:r>
      <w:bookmarkStart w:id="559" w:name="OLE_LINK482"/>
      <w:bookmarkStart w:id="560" w:name="OLE_LINK483"/>
      <w:r w:rsidRPr="00392B10">
        <w:rPr>
          <w:rFonts w:eastAsia="Calibri" w:cs="Times New Roman"/>
        </w:rPr>
        <w:t>Vol. 192 No. 1, pp. 21-47.</w:t>
      </w:r>
      <w:bookmarkEnd w:id="559"/>
      <w:bookmarkEnd w:id="560"/>
    </w:p>
    <w:p w:rsidR="000153FA" w:rsidRDefault="000153FA" w:rsidP="000153FA">
      <w:pPr>
        <w:spacing w:after="0" w:line="240" w:lineRule="auto"/>
        <w:jc w:val="both"/>
        <w:rPr>
          <w:rFonts w:eastAsia="Calibri" w:cs="Times New Roman"/>
        </w:rPr>
      </w:pPr>
    </w:p>
    <w:p w:rsidR="000153FA" w:rsidRPr="00392B10" w:rsidRDefault="000153FA" w:rsidP="000153FA">
      <w:pPr>
        <w:spacing w:after="0" w:line="240" w:lineRule="auto"/>
        <w:jc w:val="both"/>
        <w:rPr>
          <w:rFonts w:eastAsia="Calibri" w:cs="Times New Roman"/>
        </w:rPr>
      </w:pPr>
      <w:proofErr w:type="spellStart"/>
      <w:r w:rsidRPr="00392B10">
        <w:rPr>
          <w:rFonts w:eastAsia="Calibri" w:cs="Times New Roman"/>
        </w:rPr>
        <w:t>Mitrovic-Minic</w:t>
      </w:r>
      <w:proofErr w:type="spellEnd"/>
      <w:r w:rsidRPr="00392B10">
        <w:rPr>
          <w:rFonts w:eastAsia="Calibri" w:cs="Times New Roman"/>
        </w:rPr>
        <w:t xml:space="preserve">, S. and </w:t>
      </w:r>
      <w:proofErr w:type="spellStart"/>
      <w:r w:rsidRPr="00392B10">
        <w:rPr>
          <w:rFonts w:eastAsia="Calibri" w:cs="Times New Roman"/>
        </w:rPr>
        <w:t>Laporte</w:t>
      </w:r>
      <w:proofErr w:type="spellEnd"/>
      <w:r w:rsidRPr="00392B10">
        <w:rPr>
          <w:rFonts w:eastAsia="Calibri" w:cs="Times New Roman"/>
        </w:rPr>
        <w:t xml:space="preserve">, </w:t>
      </w:r>
      <w:r>
        <w:rPr>
          <w:rFonts w:eastAsia="Calibri" w:cs="Times New Roman"/>
        </w:rPr>
        <w:t>G.</w:t>
      </w:r>
      <w:r w:rsidRPr="00392B10">
        <w:rPr>
          <w:rFonts w:eastAsia="Calibri" w:cs="Times New Roman"/>
        </w:rPr>
        <w:t xml:space="preserve"> (2006), “The pickup and delivery problem with time windows and transshipment, </w:t>
      </w:r>
      <w:r w:rsidRPr="00D045A2">
        <w:rPr>
          <w:i/>
        </w:rPr>
        <w:t>Information Systems and Operational Research</w:t>
      </w:r>
      <w:bookmarkStart w:id="561" w:name="OLE_LINK535"/>
      <w:bookmarkStart w:id="562" w:name="OLE_LINK536"/>
      <w:r>
        <w:t xml:space="preserve">, </w:t>
      </w:r>
      <w:r w:rsidRPr="00392B10">
        <w:rPr>
          <w:rFonts w:eastAsia="Calibri" w:cs="Times New Roman"/>
        </w:rPr>
        <w:t xml:space="preserve">Vol. 44 No. </w:t>
      </w:r>
      <w:r>
        <w:rPr>
          <w:rFonts w:eastAsia="Calibri" w:cs="Times New Roman"/>
        </w:rPr>
        <w:t>3</w:t>
      </w:r>
      <w:r w:rsidRPr="00392B10">
        <w:rPr>
          <w:rFonts w:eastAsia="Calibri" w:cs="Times New Roman"/>
        </w:rPr>
        <w:t>, pp. 217–22</w:t>
      </w:r>
      <w:r>
        <w:rPr>
          <w:rFonts w:eastAsia="Calibri" w:cs="Times New Roman"/>
        </w:rPr>
        <w:t>8</w:t>
      </w:r>
      <w:r w:rsidRPr="00392B10">
        <w:rPr>
          <w:rFonts w:eastAsia="Calibri" w:cs="Times New Roman"/>
        </w:rPr>
        <w:t>.</w:t>
      </w:r>
      <w:bookmarkEnd w:id="561"/>
      <w:bookmarkEnd w:id="562"/>
    </w:p>
    <w:p w:rsidR="000153FA" w:rsidRPr="00392B10" w:rsidRDefault="000153FA" w:rsidP="000153FA">
      <w:pPr>
        <w:spacing w:after="0" w:line="240" w:lineRule="auto"/>
        <w:jc w:val="both"/>
        <w:rPr>
          <w:rFonts w:eastAsia="Calibri" w:cs="Times New Roman"/>
        </w:rPr>
      </w:pPr>
    </w:p>
    <w:p w:rsidR="000153FA" w:rsidRDefault="000153FA" w:rsidP="000153FA">
      <w:pPr>
        <w:spacing w:after="0" w:line="240" w:lineRule="auto"/>
        <w:jc w:val="both"/>
        <w:rPr>
          <w:rFonts w:eastAsia="Calibri" w:cs="Times New Roman"/>
        </w:rPr>
      </w:pPr>
      <w:proofErr w:type="spellStart"/>
      <w:r w:rsidRPr="00392B10">
        <w:rPr>
          <w:rFonts w:eastAsia="Calibri" w:cs="Times New Roman"/>
        </w:rPr>
        <w:t>Morais</w:t>
      </w:r>
      <w:proofErr w:type="spellEnd"/>
      <w:r w:rsidRPr="00392B10">
        <w:rPr>
          <w:rFonts w:eastAsia="Calibri" w:cs="Times New Roman"/>
        </w:rPr>
        <w:t xml:space="preserve">, V.W.C., </w:t>
      </w:r>
      <w:proofErr w:type="spellStart"/>
      <w:r w:rsidRPr="00392B10">
        <w:rPr>
          <w:rFonts w:eastAsia="Calibri" w:cs="Times New Roman"/>
        </w:rPr>
        <w:t>Mateus</w:t>
      </w:r>
      <w:proofErr w:type="spellEnd"/>
      <w:r w:rsidRPr="00392B10">
        <w:rPr>
          <w:rFonts w:eastAsia="Calibri" w:cs="Times New Roman"/>
        </w:rPr>
        <w:t xml:space="preserve">, G.R. and </w:t>
      </w:r>
      <w:r>
        <w:rPr>
          <w:rFonts w:eastAsia="Calibri" w:cs="Times New Roman"/>
        </w:rPr>
        <w:t xml:space="preserve">Noronha, T.F. </w:t>
      </w:r>
      <w:r w:rsidRPr="00392B10">
        <w:rPr>
          <w:rFonts w:eastAsia="Calibri" w:cs="Times New Roman"/>
        </w:rPr>
        <w:t xml:space="preserve">(2014), “Iterated local search heuristics for the Vehicle Routing Problem with cross-docking”, </w:t>
      </w:r>
      <w:r w:rsidRPr="00D045A2">
        <w:rPr>
          <w:rFonts w:eastAsia="Calibri" w:cs="Times New Roman"/>
          <w:i/>
        </w:rPr>
        <w:t>Expert Systems with Applications</w:t>
      </w:r>
      <w:r w:rsidRPr="00392B10">
        <w:rPr>
          <w:rFonts w:eastAsia="Calibri" w:cs="Times New Roman"/>
        </w:rPr>
        <w:t xml:space="preserve">, </w:t>
      </w:r>
      <w:bookmarkStart w:id="563" w:name="OLE_LINK526"/>
      <w:bookmarkStart w:id="564" w:name="OLE_LINK527"/>
      <w:bookmarkStart w:id="565" w:name="OLE_LINK528"/>
      <w:bookmarkStart w:id="566" w:name="OLE_LINK529"/>
      <w:bookmarkStart w:id="567" w:name="OLE_LINK530"/>
      <w:bookmarkStart w:id="568" w:name="OLE_LINK531"/>
      <w:bookmarkStart w:id="569" w:name="OLE_LINK532"/>
      <w:bookmarkStart w:id="570" w:name="OLE_LINK533"/>
      <w:bookmarkStart w:id="571" w:name="OLE_LINK534"/>
      <w:r w:rsidRPr="00392B10">
        <w:rPr>
          <w:rFonts w:eastAsia="Calibri" w:cs="Times New Roman"/>
        </w:rPr>
        <w:t>Vol. 41 No. 16, pp. 7495-7506.</w:t>
      </w:r>
      <w:bookmarkEnd w:id="563"/>
      <w:bookmarkEnd w:id="564"/>
      <w:bookmarkEnd w:id="565"/>
      <w:bookmarkEnd w:id="566"/>
      <w:bookmarkEnd w:id="567"/>
      <w:bookmarkEnd w:id="568"/>
      <w:bookmarkEnd w:id="569"/>
      <w:bookmarkEnd w:id="570"/>
      <w:bookmarkEnd w:id="571"/>
    </w:p>
    <w:p w:rsidR="000153FA" w:rsidRDefault="000153FA" w:rsidP="000153FA">
      <w:pPr>
        <w:spacing w:after="0" w:line="240" w:lineRule="auto"/>
        <w:jc w:val="both"/>
        <w:rPr>
          <w:rFonts w:eastAsia="Calibri" w:cs="Times New Roman"/>
        </w:rPr>
      </w:pPr>
    </w:p>
    <w:p w:rsidR="000153FA" w:rsidRDefault="000153FA" w:rsidP="000153FA">
      <w:pPr>
        <w:jc w:val="both"/>
        <w:rPr>
          <w:rFonts w:eastAsia="Calibri" w:cs="Times New Roman"/>
        </w:rPr>
      </w:pPr>
      <w:proofErr w:type="spellStart"/>
      <w:r w:rsidRPr="00392B10">
        <w:rPr>
          <w:rFonts w:eastAsia="Calibri" w:cs="Times New Roman"/>
        </w:rPr>
        <w:t>Mues</w:t>
      </w:r>
      <w:proofErr w:type="spellEnd"/>
      <w:r w:rsidRPr="00392B10">
        <w:rPr>
          <w:rFonts w:eastAsia="Calibri" w:cs="Times New Roman"/>
        </w:rPr>
        <w:t xml:space="preserve">, C., and </w:t>
      </w:r>
      <w:proofErr w:type="spellStart"/>
      <w:r w:rsidRPr="00392B10">
        <w:rPr>
          <w:rFonts w:eastAsia="Calibri" w:cs="Times New Roman"/>
        </w:rPr>
        <w:t>Pickl</w:t>
      </w:r>
      <w:proofErr w:type="spellEnd"/>
      <w:r w:rsidRPr="00392B10">
        <w:rPr>
          <w:rFonts w:eastAsia="Calibri" w:cs="Times New Roman"/>
        </w:rPr>
        <w:t>, S</w:t>
      </w:r>
      <w:r>
        <w:rPr>
          <w:rFonts w:eastAsia="Calibri" w:cs="Times New Roman"/>
        </w:rPr>
        <w:t>.</w:t>
      </w:r>
      <w:r w:rsidRPr="00392B10">
        <w:rPr>
          <w:rFonts w:eastAsia="Calibri" w:cs="Times New Roman"/>
        </w:rPr>
        <w:t xml:space="preserve"> (2005), “Transshipment and Time Windows in Vehicle Routing”, in proceedings of </w:t>
      </w:r>
      <w:r w:rsidR="00A61AF8" w:rsidRPr="00A61AF8">
        <w:rPr>
          <w:rFonts w:eastAsia="Calibri" w:cs="Times New Roman"/>
          <w:i/>
        </w:rPr>
        <w:t>T</w:t>
      </w:r>
      <w:r w:rsidRPr="00A61AF8">
        <w:rPr>
          <w:rFonts w:eastAsia="Calibri" w:cs="Times New Roman"/>
          <w:i/>
        </w:rPr>
        <w:t>he 8th International Symposium on Parallel Architectures</w:t>
      </w:r>
      <w:r w:rsidRPr="00392B10">
        <w:rPr>
          <w:rFonts w:eastAsia="Calibri" w:cs="Times New Roman"/>
        </w:rPr>
        <w:t>, Algorithms and Networks IEEE, Piscataway, 2005, pp. 113–119.</w:t>
      </w:r>
      <w:r w:rsidRPr="000153FA">
        <w:rPr>
          <w:rFonts w:eastAsia="Calibri" w:cs="Times New Roman"/>
        </w:rPr>
        <w:t xml:space="preserve"> </w:t>
      </w:r>
    </w:p>
    <w:p w:rsidR="009C727E" w:rsidRDefault="009C727E" w:rsidP="009C727E">
      <w:pPr>
        <w:pStyle w:val="booktitle"/>
        <w:shd w:val="clear" w:color="auto" w:fill="FFFFFF"/>
        <w:spacing w:before="0" w:beforeAutospacing="0" w:after="0" w:afterAutospacing="0"/>
        <w:jc w:val="both"/>
        <w:textAlignment w:val="baseline"/>
        <w:rPr>
          <w:rFonts w:asciiTheme="minorHAnsi" w:eastAsia="Calibri" w:hAnsiTheme="minorHAnsi"/>
          <w:sz w:val="22"/>
          <w:szCs w:val="22"/>
        </w:rPr>
      </w:pPr>
      <w:r w:rsidRPr="001A554F">
        <w:rPr>
          <w:rFonts w:asciiTheme="minorHAnsi" w:eastAsia="Calibri" w:hAnsiTheme="minorHAnsi"/>
          <w:sz w:val="22"/>
          <w:szCs w:val="22"/>
        </w:rPr>
        <w:t xml:space="preserve">Nagata, Y. and Kobayashi, S. (2010), </w:t>
      </w:r>
      <w:r>
        <w:rPr>
          <w:rFonts w:asciiTheme="minorHAnsi" w:eastAsia="Calibri" w:hAnsiTheme="minorHAnsi"/>
          <w:sz w:val="22"/>
          <w:szCs w:val="22"/>
        </w:rPr>
        <w:t>“</w:t>
      </w:r>
      <w:r w:rsidRPr="001A554F">
        <w:rPr>
          <w:rFonts w:asciiTheme="minorHAnsi" w:eastAsia="Calibri" w:hAnsiTheme="minorHAnsi"/>
          <w:sz w:val="22"/>
          <w:szCs w:val="22"/>
        </w:rPr>
        <w:t xml:space="preserve">Guided Ejection Search for the Pickup and Delivery Problem with Time Windows”, in: Cowling, P., </w:t>
      </w:r>
      <w:proofErr w:type="spellStart"/>
      <w:r w:rsidRPr="001A554F">
        <w:rPr>
          <w:rFonts w:asciiTheme="minorHAnsi" w:eastAsia="Calibri" w:hAnsiTheme="minorHAnsi"/>
          <w:sz w:val="22"/>
          <w:szCs w:val="22"/>
        </w:rPr>
        <w:t>Merz</w:t>
      </w:r>
      <w:proofErr w:type="spellEnd"/>
      <w:r w:rsidRPr="001A554F">
        <w:rPr>
          <w:rFonts w:asciiTheme="minorHAnsi" w:eastAsia="Calibri" w:hAnsiTheme="minorHAnsi"/>
          <w:sz w:val="22"/>
          <w:szCs w:val="22"/>
        </w:rPr>
        <w:t xml:space="preserve">, P. (eds.), </w:t>
      </w:r>
      <w:hyperlink r:id="rId38" w:history="1">
        <w:r w:rsidRPr="001A554F">
          <w:rPr>
            <w:rFonts w:asciiTheme="minorHAnsi" w:eastAsia="Calibri" w:hAnsiTheme="minorHAnsi"/>
            <w:i/>
            <w:sz w:val="22"/>
            <w:szCs w:val="22"/>
          </w:rPr>
          <w:t>Evolutionary Computation in Combinatorial Optimization</w:t>
        </w:r>
      </w:hyperlink>
      <w:r>
        <w:rPr>
          <w:rFonts w:asciiTheme="minorHAnsi" w:eastAsia="Calibri" w:hAnsiTheme="minorHAnsi"/>
          <w:sz w:val="22"/>
          <w:szCs w:val="22"/>
        </w:rPr>
        <w:t>,</w:t>
      </w:r>
      <w:r w:rsidRPr="001A554F">
        <w:rPr>
          <w:rFonts w:asciiTheme="minorHAnsi" w:eastAsia="Calibri" w:hAnsiTheme="minorHAnsi"/>
          <w:sz w:val="22"/>
          <w:szCs w:val="22"/>
        </w:rPr>
        <w:t xml:space="preserve"> </w:t>
      </w:r>
      <w:hyperlink r:id="rId39" w:history="1">
        <w:r w:rsidRPr="001A554F">
          <w:rPr>
            <w:rFonts w:asciiTheme="minorHAnsi" w:eastAsia="Calibri" w:hAnsiTheme="minorHAnsi"/>
            <w:sz w:val="22"/>
            <w:szCs w:val="22"/>
          </w:rPr>
          <w:t>Lecture Notes in Computer Science</w:t>
        </w:r>
      </w:hyperlink>
      <w:r>
        <w:rPr>
          <w:rFonts w:asciiTheme="minorHAnsi" w:eastAsia="Calibri" w:hAnsiTheme="minorHAnsi"/>
          <w:sz w:val="22"/>
          <w:szCs w:val="22"/>
        </w:rPr>
        <w:t xml:space="preserve">, </w:t>
      </w:r>
      <w:r w:rsidRPr="001A554F">
        <w:rPr>
          <w:rFonts w:asciiTheme="minorHAnsi" w:eastAsia="Calibri" w:hAnsiTheme="minorHAnsi"/>
          <w:sz w:val="22"/>
          <w:szCs w:val="22"/>
        </w:rPr>
        <w:t>Vol</w:t>
      </w:r>
      <w:r>
        <w:rPr>
          <w:rFonts w:asciiTheme="minorHAnsi" w:eastAsia="Calibri" w:hAnsiTheme="minorHAnsi"/>
          <w:sz w:val="22"/>
          <w:szCs w:val="22"/>
        </w:rPr>
        <w:t>. 6022, Springer, Heidelberg,</w:t>
      </w:r>
      <w:r w:rsidRPr="001A554F">
        <w:rPr>
          <w:rFonts w:asciiTheme="minorHAnsi" w:eastAsia="Calibri" w:hAnsiTheme="minorHAnsi"/>
          <w:sz w:val="22"/>
          <w:szCs w:val="22"/>
        </w:rPr>
        <w:t>  pp 202-213</w:t>
      </w:r>
      <w:r>
        <w:rPr>
          <w:rFonts w:asciiTheme="minorHAnsi" w:eastAsia="Calibri" w:hAnsiTheme="minorHAnsi"/>
          <w:sz w:val="22"/>
          <w:szCs w:val="22"/>
        </w:rPr>
        <w:t>.</w:t>
      </w:r>
    </w:p>
    <w:p w:rsidR="009C727E" w:rsidRPr="009C727E" w:rsidRDefault="009C727E" w:rsidP="009C727E">
      <w:pPr>
        <w:pStyle w:val="booktitle"/>
        <w:shd w:val="clear" w:color="auto" w:fill="FFFFFF"/>
        <w:spacing w:before="0" w:beforeAutospacing="0" w:after="0" w:afterAutospacing="0"/>
        <w:jc w:val="both"/>
        <w:textAlignment w:val="baseline"/>
        <w:rPr>
          <w:rFonts w:asciiTheme="minorHAnsi" w:eastAsia="Calibri" w:hAnsiTheme="minorHAnsi"/>
          <w:sz w:val="22"/>
          <w:szCs w:val="22"/>
        </w:rPr>
      </w:pPr>
    </w:p>
    <w:p w:rsidR="000153FA" w:rsidRPr="000153FA" w:rsidRDefault="000153FA" w:rsidP="000153FA">
      <w:pPr>
        <w:pStyle w:val="RoadefRef"/>
        <w:ind w:left="0" w:firstLine="0"/>
        <w:rPr>
          <w:rFonts w:asciiTheme="minorHAnsi" w:hAnsiTheme="minorHAnsi"/>
          <w:lang w:val="en-US"/>
        </w:rPr>
      </w:pPr>
      <w:bookmarkStart w:id="572" w:name="OLE_LINK385"/>
      <w:bookmarkStart w:id="573" w:name="OLE_LINK391"/>
      <w:proofErr w:type="spellStart"/>
      <w:r w:rsidRPr="00392B10">
        <w:rPr>
          <w:rFonts w:asciiTheme="minorHAnsi" w:hAnsiTheme="minorHAnsi"/>
          <w:lang w:val="en-US"/>
        </w:rPr>
        <w:t>Nanry</w:t>
      </w:r>
      <w:proofErr w:type="spellEnd"/>
      <w:r w:rsidRPr="00392B10">
        <w:rPr>
          <w:rFonts w:asciiTheme="minorHAnsi" w:hAnsiTheme="minorHAnsi"/>
          <w:lang w:val="en-US"/>
        </w:rPr>
        <w:t>, W.P. and Barnes</w:t>
      </w:r>
      <w:r>
        <w:rPr>
          <w:rFonts w:asciiTheme="minorHAnsi" w:hAnsiTheme="minorHAnsi"/>
          <w:lang w:val="en-US"/>
        </w:rPr>
        <w:t>, J.W.</w:t>
      </w:r>
      <w:r w:rsidRPr="00392B10">
        <w:rPr>
          <w:rFonts w:asciiTheme="minorHAnsi" w:hAnsiTheme="minorHAnsi"/>
          <w:lang w:val="en-US"/>
        </w:rPr>
        <w:t xml:space="preserve"> (2000), </w:t>
      </w:r>
      <w:bookmarkEnd w:id="572"/>
      <w:bookmarkEnd w:id="573"/>
      <w:r w:rsidRPr="00392B10">
        <w:rPr>
          <w:rFonts w:asciiTheme="minorHAnsi" w:hAnsiTheme="minorHAnsi"/>
          <w:lang w:val="en-US"/>
        </w:rPr>
        <w:t xml:space="preserve">“Solving the pickup and delivery problem with time windows using reactive </w:t>
      </w:r>
      <w:proofErr w:type="spellStart"/>
      <w:r w:rsidRPr="00392B10">
        <w:rPr>
          <w:rFonts w:asciiTheme="minorHAnsi" w:hAnsiTheme="minorHAnsi"/>
          <w:lang w:val="en-US"/>
        </w:rPr>
        <w:t>tabu</w:t>
      </w:r>
      <w:proofErr w:type="spellEnd"/>
      <w:r w:rsidRPr="00392B10">
        <w:rPr>
          <w:rFonts w:asciiTheme="minorHAnsi" w:hAnsiTheme="minorHAnsi"/>
          <w:lang w:val="en-US"/>
        </w:rPr>
        <w:t xml:space="preserve"> search”, </w:t>
      </w:r>
      <w:r w:rsidRPr="00D045A2">
        <w:rPr>
          <w:rFonts w:asciiTheme="minorHAnsi" w:hAnsiTheme="minorHAnsi"/>
          <w:i/>
          <w:lang w:val="en-US"/>
        </w:rPr>
        <w:t>Transportation Research Part B</w:t>
      </w:r>
      <w:r w:rsidRPr="00392B10">
        <w:rPr>
          <w:rFonts w:asciiTheme="minorHAnsi" w:hAnsiTheme="minorHAnsi"/>
          <w:lang w:val="en-US"/>
        </w:rPr>
        <w:t xml:space="preserve">, </w:t>
      </w:r>
      <w:bookmarkStart w:id="574" w:name="OLE_LINK464"/>
      <w:r w:rsidRPr="00392B10">
        <w:rPr>
          <w:rFonts w:asciiTheme="minorHAnsi" w:hAnsiTheme="minorHAnsi"/>
          <w:lang w:val="en-US"/>
        </w:rPr>
        <w:t>Vol. 34 No. 107, pp. 107–121.</w:t>
      </w:r>
      <w:bookmarkStart w:id="575" w:name="OLE_LINK477"/>
      <w:bookmarkStart w:id="576" w:name="OLE_LINK478"/>
      <w:bookmarkStart w:id="577" w:name="OLE_LINK479"/>
      <w:bookmarkEnd w:id="574"/>
    </w:p>
    <w:bookmarkEnd w:id="575"/>
    <w:bookmarkEnd w:id="576"/>
    <w:bookmarkEnd w:id="577"/>
    <w:p w:rsidR="000153FA" w:rsidRDefault="000153FA" w:rsidP="000153FA">
      <w:pPr>
        <w:jc w:val="both"/>
        <w:rPr>
          <w:rFonts w:eastAsia="Calibri" w:cs="Times New Roman"/>
        </w:rPr>
      </w:pPr>
      <w:proofErr w:type="spellStart"/>
      <w:r w:rsidRPr="00392B10">
        <w:rPr>
          <w:rFonts w:eastAsia="Calibri" w:cs="Times New Roman"/>
        </w:rPr>
        <w:t>Parragh</w:t>
      </w:r>
      <w:proofErr w:type="spellEnd"/>
      <w:r w:rsidRPr="00392B10">
        <w:rPr>
          <w:rFonts w:eastAsia="Calibri" w:cs="Times New Roman"/>
        </w:rPr>
        <w:t xml:space="preserve">, S., </w:t>
      </w:r>
      <w:proofErr w:type="spellStart"/>
      <w:r w:rsidRPr="00392B10">
        <w:rPr>
          <w:rFonts w:eastAsia="Calibri" w:cs="Times New Roman"/>
        </w:rPr>
        <w:t>Doerner</w:t>
      </w:r>
      <w:proofErr w:type="spellEnd"/>
      <w:r w:rsidRPr="00392B10">
        <w:rPr>
          <w:rFonts w:eastAsia="Calibri" w:cs="Times New Roman"/>
        </w:rPr>
        <w:t xml:space="preserve">, K. and </w:t>
      </w:r>
      <w:proofErr w:type="spellStart"/>
      <w:r w:rsidRPr="00392B10">
        <w:rPr>
          <w:rFonts w:eastAsia="Calibri" w:cs="Times New Roman"/>
        </w:rPr>
        <w:t>Hartl</w:t>
      </w:r>
      <w:bookmarkStart w:id="578" w:name="OLE_LINK413"/>
      <w:bookmarkStart w:id="579" w:name="OLE_LINK465"/>
      <w:bookmarkStart w:id="580" w:name="OLE_LINK466"/>
      <w:proofErr w:type="spellEnd"/>
      <w:r>
        <w:rPr>
          <w:rFonts w:eastAsia="Calibri" w:cs="Times New Roman"/>
        </w:rPr>
        <w:t>, R.</w:t>
      </w:r>
      <w:r w:rsidRPr="00392B10">
        <w:rPr>
          <w:rFonts w:eastAsia="Calibri" w:cs="Times New Roman"/>
        </w:rPr>
        <w:t xml:space="preserve"> (2008), “A survey on pickup and delivery problems. </w:t>
      </w:r>
      <w:proofErr w:type="gramStart"/>
      <w:r w:rsidRPr="00392B10">
        <w:rPr>
          <w:rFonts w:eastAsia="Calibri" w:cs="Times New Roman"/>
        </w:rPr>
        <w:t>part</w:t>
      </w:r>
      <w:proofErr w:type="gramEnd"/>
      <w:r w:rsidRPr="00392B10">
        <w:rPr>
          <w:rFonts w:eastAsia="Calibri" w:cs="Times New Roman"/>
        </w:rPr>
        <w:t xml:space="preserve"> II: Transportation between pickup and delivery locations</w:t>
      </w:r>
      <w:bookmarkEnd w:id="578"/>
      <w:bookmarkEnd w:id="579"/>
      <w:bookmarkEnd w:id="580"/>
      <w:r w:rsidRPr="00392B10">
        <w:rPr>
          <w:rFonts w:eastAsia="Calibri" w:cs="Times New Roman"/>
        </w:rPr>
        <w:t xml:space="preserve">”, </w:t>
      </w:r>
      <w:r w:rsidRPr="00D045A2">
        <w:rPr>
          <w:rFonts w:eastAsia="Calibri" w:cs="Times New Roman"/>
          <w:i/>
        </w:rPr>
        <w:t xml:space="preserve">Journal fur </w:t>
      </w:r>
      <w:proofErr w:type="spellStart"/>
      <w:r w:rsidRPr="00D045A2">
        <w:rPr>
          <w:rFonts w:eastAsia="Calibri" w:cs="Times New Roman"/>
          <w:i/>
        </w:rPr>
        <w:t>Betriebswirtschaft</w:t>
      </w:r>
      <w:proofErr w:type="spellEnd"/>
      <w:r w:rsidRPr="00392B10">
        <w:rPr>
          <w:rFonts w:eastAsia="Calibri" w:cs="Times New Roman"/>
        </w:rPr>
        <w:t>, Vol. 58 No. 2, pp. 81–117.</w:t>
      </w:r>
    </w:p>
    <w:p w:rsidR="000153FA" w:rsidRPr="00392B10" w:rsidRDefault="000153FA" w:rsidP="000153FA">
      <w:pPr>
        <w:spacing w:after="0" w:line="240" w:lineRule="auto"/>
        <w:jc w:val="both"/>
        <w:rPr>
          <w:rFonts w:eastAsia="Calibri" w:cs="Times New Roman"/>
        </w:rPr>
      </w:pPr>
      <w:r w:rsidRPr="00392B10">
        <w:rPr>
          <w:rFonts w:eastAsia="Calibri" w:cs="Times New Roman"/>
        </w:rPr>
        <w:t xml:space="preserve">Petersen, H.L. and </w:t>
      </w:r>
      <w:proofErr w:type="spellStart"/>
      <w:r w:rsidRPr="00392B10">
        <w:rPr>
          <w:rFonts w:eastAsia="Calibri" w:cs="Times New Roman"/>
        </w:rPr>
        <w:t>Ropke</w:t>
      </w:r>
      <w:proofErr w:type="spellEnd"/>
      <w:r w:rsidRPr="00392B10">
        <w:rPr>
          <w:rFonts w:eastAsia="Calibri" w:cs="Times New Roman"/>
        </w:rPr>
        <w:t>, S.</w:t>
      </w:r>
      <w:r>
        <w:rPr>
          <w:rFonts w:eastAsia="Calibri" w:cs="Times New Roman"/>
        </w:rPr>
        <w:t xml:space="preserve"> (2011),</w:t>
      </w:r>
      <w:r w:rsidRPr="00392B10">
        <w:rPr>
          <w:rFonts w:eastAsia="Calibri" w:cs="Times New Roman"/>
        </w:rPr>
        <w:t xml:space="preserve"> “The Pickup and Delivery Problem with cross-docking opportunity”, in </w:t>
      </w:r>
      <w:bookmarkStart w:id="581" w:name="OLE_LINK495"/>
      <w:bookmarkStart w:id="582" w:name="OLE_LINK496"/>
      <w:r w:rsidRPr="00392B10">
        <w:rPr>
          <w:rFonts w:eastAsia="Calibri" w:cs="Times New Roman"/>
        </w:rPr>
        <w:t xml:space="preserve">Proceedings of </w:t>
      </w:r>
      <w:r w:rsidR="00A61AF8" w:rsidRPr="00A61AF8">
        <w:rPr>
          <w:rFonts w:eastAsia="Calibri" w:cs="Times New Roman"/>
          <w:i/>
        </w:rPr>
        <w:t>International Conference on Computational Logistics</w:t>
      </w:r>
      <w:r w:rsidRPr="00392B10">
        <w:rPr>
          <w:rFonts w:eastAsia="Calibri" w:cs="Times New Roman"/>
        </w:rPr>
        <w:t xml:space="preserve">, </w:t>
      </w:r>
      <w:bookmarkEnd w:id="581"/>
      <w:bookmarkEnd w:id="582"/>
      <w:r w:rsidRPr="00392B10">
        <w:rPr>
          <w:rFonts w:eastAsia="Calibri" w:cs="Times New Roman"/>
        </w:rPr>
        <w:t>Hamburg, Germany, pp. 101-113.</w:t>
      </w:r>
    </w:p>
    <w:p w:rsidR="000153FA" w:rsidRDefault="000153FA" w:rsidP="000153FA">
      <w:pPr>
        <w:spacing w:after="0" w:line="240" w:lineRule="auto"/>
        <w:jc w:val="both"/>
        <w:rPr>
          <w:rFonts w:eastAsia="Calibri" w:cs="Times New Roman"/>
        </w:rPr>
      </w:pPr>
    </w:p>
    <w:p w:rsidR="000153FA" w:rsidRPr="00392B10" w:rsidRDefault="000153FA" w:rsidP="000153FA">
      <w:pPr>
        <w:spacing w:after="0" w:line="240" w:lineRule="auto"/>
        <w:jc w:val="both"/>
        <w:rPr>
          <w:rFonts w:eastAsia="Calibri" w:cs="Times New Roman"/>
        </w:rPr>
      </w:pPr>
      <w:proofErr w:type="spellStart"/>
      <w:r w:rsidRPr="00392B10">
        <w:rPr>
          <w:rFonts w:eastAsia="Calibri" w:cs="Times New Roman"/>
        </w:rPr>
        <w:t>Ropke</w:t>
      </w:r>
      <w:proofErr w:type="spellEnd"/>
      <w:r>
        <w:rPr>
          <w:rFonts w:eastAsia="Calibri" w:cs="Times New Roman"/>
        </w:rPr>
        <w:t>,</w:t>
      </w:r>
      <w:r w:rsidRPr="00392B10">
        <w:rPr>
          <w:rFonts w:eastAsia="Calibri" w:cs="Times New Roman"/>
        </w:rPr>
        <w:t xml:space="preserve"> S. and</w:t>
      </w:r>
      <w:r>
        <w:rPr>
          <w:rFonts w:eastAsia="Calibri" w:cs="Times New Roman"/>
        </w:rPr>
        <w:t xml:space="preserve"> </w:t>
      </w:r>
      <w:proofErr w:type="spellStart"/>
      <w:r w:rsidRPr="00392B10">
        <w:rPr>
          <w:rFonts w:eastAsia="Calibri" w:cs="Times New Roman"/>
        </w:rPr>
        <w:t>Pisinger</w:t>
      </w:r>
      <w:bookmarkStart w:id="583" w:name="OLE_LINK347"/>
      <w:bookmarkStart w:id="584" w:name="OLE_LINK348"/>
      <w:bookmarkStart w:id="585" w:name="OLE_LINK349"/>
      <w:proofErr w:type="spellEnd"/>
      <w:r>
        <w:rPr>
          <w:rFonts w:eastAsia="Calibri" w:cs="Times New Roman"/>
        </w:rPr>
        <w:t>,</w:t>
      </w:r>
      <w:r w:rsidRPr="00392B10">
        <w:rPr>
          <w:rFonts w:eastAsia="Calibri" w:cs="Times New Roman"/>
        </w:rPr>
        <w:t xml:space="preserve"> D.</w:t>
      </w:r>
      <w:r>
        <w:rPr>
          <w:rFonts w:eastAsia="Calibri" w:cs="Times New Roman"/>
        </w:rPr>
        <w:t xml:space="preserve"> (2006),</w:t>
      </w:r>
      <w:r w:rsidRPr="00392B10">
        <w:rPr>
          <w:rFonts w:eastAsia="Calibri" w:cs="Times New Roman"/>
        </w:rPr>
        <w:t xml:space="preserve"> </w:t>
      </w:r>
      <w:r>
        <w:rPr>
          <w:rFonts w:eastAsia="Calibri" w:cs="Times New Roman"/>
        </w:rPr>
        <w:t>“</w:t>
      </w:r>
      <w:r w:rsidRPr="00392B10">
        <w:rPr>
          <w:rFonts w:eastAsia="Calibri" w:cs="Times New Roman"/>
        </w:rPr>
        <w:t>An adaptive large neighborhood search heuristic for the pickup and delivery problem with time windows</w:t>
      </w:r>
      <w:bookmarkEnd w:id="583"/>
      <w:bookmarkEnd w:id="584"/>
      <w:bookmarkEnd w:id="585"/>
      <w:r>
        <w:rPr>
          <w:rFonts w:eastAsia="Calibri" w:cs="Times New Roman"/>
        </w:rPr>
        <w:t>”,</w:t>
      </w:r>
      <w:r w:rsidRPr="00392B10">
        <w:rPr>
          <w:rFonts w:eastAsia="Calibri" w:cs="Times New Roman"/>
        </w:rPr>
        <w:t xml:space="preserve"> </w:t>
      </w:r>
      <w:r w:rsidRPr="00D045A2">
        <w:rPr>
          <w:rFonts w:eastAsia="Calibri" w:cs="Times New Roman"/>
          <w:i/>
        </w:rPr>
        <w:t>Transportation Science</w:t>
      </w:r>
      <w:r>
        <w:rPr>
          <w:rFonts w:eastAsia="Calibri" w:cs="Times New Roman"/>
        </w:rPr>
        <w:t xml:space="preserve">, </w:t>
      </w:r>
      <w:r w:rsidRPr="00392B10">
        <w:rPr>
          <w:rFonts w:eastAsia="Calibri" w:cs="Times New Roman"/>
        </w:rPr>
        <w:t>Vol. 4</w:t>
      </w:r>
      <w:r>
        <w:rPr>
          <w:rFonts w:eastAsia="Calibri" w:cs="Times New Roman"/>
        </w:rPr>
        <w:t>0</w:t>
      </w:r>
      <w:r w:rsidRPr="00392B10">
        <w:rPr>
          <w:rFonts w:eastAsia="Calibri" w:cs="Times New Roman"/>
        </w:rPr>
        <w:t xml:space="preserve"> No. </w:t>
      </w:r>
      <w:r>
        <w:rPr>
          <w:rFonts w:eastAsia="Calibri" w:cs="Times New Roman"/>
        </w:rPr>
        <w:t>4</w:t>
      </w:r>
      <w:r w:rsidRPr="00392B10">
        <w:rPr>
          <w:rFonts w:eastAsia="Calibri" w:cs="Times New Roman"/>
        </w:rPr>
        <w:t>, pp. 455–472.</w:t>
      </w:r>
    </w:p>
    <w:p w:rsidR="000153FA" w:rsidRDefault="000153FA" w:rsidP="000153FA">
      <w:pPr>
        <w:spacing w:after="0" w:line="240" w:lineRule="auto"/>
        <w:jc w:val="both"/>
      </w:pPr>
    </w:p>
    <w:p w:rsidR="008A11AB" w:rsidRPr="008A11AB" w:rsidRDefault="008A11AB" w:rsidP="008A11AB">
      <w:pPr>
        <w:pStyle w:val="RoadefRef"/>
        <w:ind w:left="0" w:firstLine="0"/>
        <w:rPr>
          <w:rFonts w:asciiTheme="minorHAnsi" w:hAnsiTheme="minorHAnsi"/>
          <w:lang w:val="en-US"/>
        </w:rPr>
      </w:pPr>
      <w:r w:rsidRPr="008A11AB">
        <w:rPr>
          <w:rFonts w:asciiTheme="minorHAnsi" w:hAnsiTheme="minorHAnsi"/>
          <w:lang w:val="en-US"/>
        </w:rPr>
        <w:t xml:space="preserve">Santos, F.A., </w:t>
      </w:r>
      <w:proofErr w:type="spellStart"/>
      <w:r w:rsidRPr="008A11AB">
        <w:rPr>
          <w:rFonts w:asciiTheme="minorHAnsi" w:hAnsiTheme="minorHAnsi"/>
          <w:lang w:val="en-US"/>
        </w:rPr>
        <w:t>Mateus</w:t>
      </w:r>
      <w:proofErr w:type="spellEnd"/>
      <w:r w:rsidRPr="008A11AB">
        <w:rPr>
          <w:rFonts w:asciiTheme="minorHAnsi" w:hAnsiTheme="minorHAnsi"/>
          <w:lang w:val="en-US"/>
        </w:rPr>
        <w:t xml:space="preserve">, G.R., </w:t>
      </w:r>
      <w:proofErr w:type="spellStart"/>
      <w:r w:rsidRPr="008A11AB">
        <w:rPr>
          <w:rFonts w:asciiTheme="minorHAnsi" w:hAnsiTheme="minorHAnsi"/>
          <w:lang w:val="en-US"/>
        </w:rPr>
        <w:t>da</w:t>
      </w:r>
      <w:proofErr w:type="spellEnd"/>
      <w:r w:rsidRPr="008A11AB">
        <w:rPr>
          <w:rFonts w:asciiTheme="minorHAnsi" w:hAnsiTheme="minorHAnsi"/>
          <w:lang w:val="en-US"/>
        </w:rPr>
        <w:t xml:space="preserve"> Cunha, A.S. (2013), “The pickup and Delivery problem with cross-docking”, </w:t>
      </w:r>
      <w:r w:rsidRPr="008A11AB">
        <w:rPr>
          <w:rFonts w:asciiTheme="minorHAnsi" w:hAnsiTheme="minorHAnsi"/>
          <w:i/>
          <w:lang w:val="en-US"/>
        </w:rPr>
        <w:t>Computers and Operations Research</w:t>
      </w:r>
      <w:r w:rsidRPr="008A11AB">
        <w:rPr>
          <w:rFonts w:asciiTheme="minorHAnsi" w:hAnsiTheme="minorHAnsi"/>
          <w:lang w:val="en-US"/>
        </w:rPr>
        <w:t>,</w:t>
      </w:r>
      <w:r>
        <w:rPr>
          <w:rFonts w:asciiTheme="minorHAnsi" w:hAnsiTheme="minorHAnsi"/>
          <w:lang w:val="en-US"/>
        </w:rPr>
        <w:t xml:space="preserve"> </w:t>
      </w:r>
      <w:r w:rsidRPr="00392B10">
        <w:rPr>
          <w:rFonts w:asciiTheme="minorHAnsi" w:hAnsiTheme="minorHAnsi"/>
          <w:lang w:val="en-US"/>
        </w:rPr>
        <w:t xml:space="preserve">Vol. </w:t>
      </w:r>
      <w:r>
        <w:rPr>
          <w:rFonts w:asciiTheme="minorHAnsi" w:hAnsiTheme="minorHAnsi"/>
          <w:lang w:val="en-US"/>
        </w:rPr>
        <w:t>40</w:t>
      </w:r>
      <w:r w:rsidRPr="00392B10">
        <w:rPr>
          <w:rFonts w:asciiTheme="minorHAnsi" w:hAnsiTheme="minorHAnsi"/>
          <w:lang w:val="en-US"/>
        </w:rPr>
        <w:t xml:space="preserve">, pp. </w:t>
      </w:r>
      <w:r w:rsidRPr="008A11AB">
        <w:rPr>
          <w:rFonts w:asciiTheme="minorHAnsi" w:hAnsiTheme="minorHAnsi"/>
          <w:lang w:val="en-US"/>
        </w:rPr>
        <w:t>1085–1093</w:t>
      </w:r>
      <w:r w:rsidRPr="00392B10">
        <w:rPr>
          <w:rFonts w:asciiTheme="minorHAnsi" w:hAnsiTheme="minorHAnsi"/>
          <w:lang w:val="en-US"/>
        </w:rPr>
        <w:t>.</w:t>
      </w:r>
    </w:p>
    <w:p w:rsidR="00D9704D" w:rsidRPr="00392B10" w:rsidRDefault="00D9704D" w:rsidP="00DB1AF7">
      <w:pPr>
        <w:pStyle w:val="RoadefRef"/>
        <w:ind w:left="0" w:firstLine="0"/>
        <w:rPr>
          <w:rFonts w:asciiTheme="minorHAnsi" w:hAnsiTheme="minorHAnsi"/>
          <w:lang w:val="en-US"/>
        </w:rPr>
      </w:pPr>
      <w:proofErr w:type="spellStart"/>
      <w:r w:rsidRPr="00392B10">
        <w:rPr>
          <w:rFonts w:asciiTheme="minorHAnsi" w:hAnsiTheme="minorHAnsi"/>
          <w:lang w:val="en-US"/>
        </w:rPr>
        <w:t>Savelsbergh</w:t>
      </w:r>
      <w:proofErr w:type="spellEnd"/>
      <w:r w:rsidR="005B1016" w:rsidRPr="00392B10">
        <w:rPr>
          <w:rFonts w:asciiTheme="minorHAnsi" w:hAnsiTheme="minorHAnsi"/>
          <w:lang w:val="en-US"/>
        </w:rPr>
        <w:t>,</w:t>
      </w:r>
      <w:r w:rsidRPr="00392B10">
        <w:rPr>
          <w:rFonts w:asciiTheme="minorHAnsi" w:hAnsiTheme="minorHAnsi"/>
          <w:lang w:val="en-US"/>
        </w:rPr>
        <w:t xml:space="preserve"> </w:t>
      </w:r>
      <w:r w:rsidR="005B1016" w:rsidRPr="00392B10">
        <w:rPr>
          <w:rFonts w:asciiTheme="minorHAnsi" w:hAnsiTheme="minorHAnsi"/>
          <w:lang w:val="en-US"/>
        </w:rPr>
        <w:t xml:space="preserve">M.W.P. </w:t>
      </w:r>
      <w:r w:rsidRPr="00392B10">
        <w:rPr>
          <w:rFonts w:asciiTheme="minorHAnsi" w:hAnsiTheme="minorHAnsi"/>
          <w:lang w:val="en-US"/>
        </w:rPr>
        <w:t>and Sol.</w:t>
      </w:r>
      <w:r w:rsidR="005B1016" w:rsidRPr="00392B10">
        <w:rPr>
          <w:rFonts w:asciiTheme="minorHAnsi" w:hAnsiTheme="minorHAnsi"/>
          <w:lang w:val="en-US"/>
        </w:rPr>
        <w:t>,</w:t>
      </w:r>
      <w:r w:rsidRPr="00392B10">
        <w:rPr>
          <w:rFonts w:asciiTheme="minorHAnsi" w:hAnsiTheme="minorHAnsi"/>
          <w:lang w:val="en-US"/>
        </w:rPr>
        <w:t xml:space="preserve"> </w:t>
      </w:r>
      <w:r w:rsidR="00961CAC">
        <w:rPr>
          <w:rFonts w:asciiTheme="minorHAnsi" w:hAnsiTheme="minorHAnsi"/>
          <w:lang w:val="en-US"/>
        </w:rPr>
        <w:t>M.</w:t>
      </w:r>
      <w:r w:rsidR="005B1016" w:rsidRPr="00392B10">
        <w:rPr>
          <w:rFonts w:asciiTheme="minorHAnsi" w:hAnsiTheme="minorHAnsi"/>
          <w:lang w:val="en-US"/>
        </w:rPr>
        <w:t xml:space="preserve"> </w:t>
      </w:r>
      <w:bookmarkStart w:id="586" w:name="OLE_LINK445"/>
      <w:bookmarkStart w:id="587" w:name="OLE_LINK446"/>
      <w:bookmarkStart w:id="588" w:name="OLE_LINK447"/>
      <w:bookmarkStart w:id="589" w:name="OLE_LINK448"/>
      <w:r w:rsidR="005B1016" w:rsidRPr="00392B10">
        <w:rPr>
          <w:rFonts w:asciiTheme="minorHAnsi" w:hAnsiTheme="minorHAnsi"/>
          <w:lang w:val="en-US"/>
        </w:rPr>
        <w:t xml:space="preserve">(1995), </w:t>
      </w:r>
      <w:bookmarkEnd w:id="586"/>
      <w:bookmarkEnd w:id="587"/>
      <w:bookmarkEnd w:id="588"/>
      <w:bookmarkEnd w:id="589"/>
      <w:r w:rsidR="005B1016" w:rsidRPr="00392B10">
        <w:rPr>
          <w:rFonts w:asciiTheme="minorHAnsi" w:hAnsiTheme="minorHAnsi"/>
          <w:lang w:val="en-US"/>
        </w:rPr>
        <w:t>“</w:t>
      </w:r>
      <w:r w:rsidRPr="00392B10">
        <w:rPr>
          <w:rFonts w:asciiTheme="minorHAnsi" w:hAnsiTheme="minorHAnsi"/>
          <w:lang w:val="en-US"/>
        </w:rPr>
        <w:t>The general pickup and delivery problem</w:t>
      </w:r>
      <w:r w:rsidR="005B1016" w:rsidRPr="00392B10">
        <w:rPr>
          <w:rFonts w:asciiTheme="minorHAnsi" w:hAnsiTheme="minorHAnsi"/>
          <w:lang w:val="en-US"/>
        </w:rPr>
        <w:t>”,</w:t>
      </w:r>
      <w:r w:rsidR="00A74FC8" w:rsidRPr="00392B10">
        <w:rPr>
          <w:rFonts w:asciiTheme="minorHAnsi" w:hAnsiTheme="minorHAnsi"/>
          <w:lang w:val="en-US"/>
        </w:rPr>
        <w:t xml:space="preserve"> </w:t>
      </w:r>
      <w:r w:rsidRPr="00D045A2">
        <w:rPr>
          <w:rFonts w:asciiTheme="minorHAnsi" w:hAnsiTheme="minorHAnsi"/>
          <w:i/>
          <w:lang w:val="en-US"/>
        </w:rPr>
        <w:t>Transportation Science</w:t>
      </w:r>
      <w:r w:rsidRPr="00392B10">
        <w:rPr>
          <w:rFonts w:asciiTheme="minorHAnsi" w:hAnsiTheme="minorHAnsi"/>
          <w:lang w:val="en-US"/>
        </w:rPr>
        <w:t xml:space="preserve">, </w:t>
      </w:r>
      <w:bookmarkStart w:id="590" w:name="OLE_LINK439"/>
      <w:bookmarkStart w:id="591" w:name="OLE_LINK443"/>
      <w:r w:rsidR="005B1016" w:rsidRPr="00392B10">
        <w:rPr>
          <w:rFonts w:asciiTheme="minorHAnsi" w:hAnsiTheme="minorHAnsi"/>
          <w:lang w:val="en-US"/>
        </w:rPr>
        <w:t xml:space="preserve">Vol. </w:t>
      </w:r>
      <w:r w:rsidRPr="00392B10">
        <w:rPr>
          <w:rFonts w:asciiTheme="minorHAnsi" w:hAnsiTheme="minorHAnsi"/>
          <w:lang w:val="en-US"/>
        </w:rPr>
        <w:t>29</w:t>
      </w:r>
      <w:r w:rsidR="005B1016" w:rsidRPr="00392B10">
        <w:rPr>
          <w:rFonts w:asciiTheme="minorHAnsi" w:hAnsiTheme="minorHAnsi"/>
          <w:lang w:val="en-US"/>
        </w:rPr>
        <w:t xml:space="preserve"> No. 1, pp. 17-29</w:t>
      </w:r>
      <w:r w:rsidRPr="00392B10">
        <w:rPr>
          <w:rFonts w:asciiTheme="minorHAnsi" w:hAnsiTheme="minorHAnsi"/>
          <w:lang w:val="en-US"/>
        </w:rPr>
        <w:t>.</w:t>
      </w:r>
    </w:p>
    <w:bookmarkEnd w:id="590"/>
    <w:bookmarkEnd w:id="591"/>
    <w:p w:rsidR="00D9704D" w:rsidRPr="00392B10" w:rsidRDefault="00D9704D" w:rsidP="00DB1AF7">
      <w:pPr>
        <w:pStyle w:val="RoadefRef"/>
        <w:ind w:left="0" w:firstLine="0"/>
        <w:rPr>
          <w:rFonts w:asciiTheme="minorHAnsi" w:hAnsiTheme="minorHAnsi"/>
          <w:lang w:val="en-US"/>
        </w:rPr>
      </w:pPr>
      <w:proofErr w:type="spellStart"/>
      <w:r w:rsidRPr="00392B10">
        <w:rPr>
          <w:rFonts w:asciiTheme="minorHAnsi" w:hAnsiTheme="minorHAnsi"/>
          <w:lang w:val="en-US"/>
        </w:rPr>
        <w:lastRenderedPageBreak/>
        <w:t>Tarantilis</w:t>
      </w:r>
      <w:proofErr w:type="spellEnd"/>
      <w:r w:rsidRPr="00392B10">
        <w:rPr>
          <w:rFonts w:asciiTheme="minorHAnsi" w:hAnsiTheme="minorHAnsi"/>
          <w:lang w:val="en-US"/>
        </w:rPr>
        <w:t>.</w:t>
      </w:r>
      <w:r w:rsidR="00ED3F47" w:rsidRPr="00392B10">
        <w:rPr>
          <w:rFonts w:asciiTheme="minorHAnsi" w:hAnsiTheme="minorHAnsi"/>
          <w:lang w:val="en-US"/>
        </w:rPr>
        <w:t>,</w:t>
      </w:r>
      <w:r w:rsidRPr="00392B10">
        <w:rPr>
          <w:rFonts w:asciiTheme="minorHAnsi" w:hAnsiTheme="minorHAnsi"/>
          <w:lang w:val="en-US"/>
        </w:rPr>
        <w:t xml:space="preserve"> </w:t>
      </w:r>
      <w:r w:rsidR="00961CAC">
        <w:rPr>
          <w:rFonts w:asciiTheme="minorHAnsi" w:hAnsiTheme="minorHAnsi"/>
          <w:lang w:val="en-US"/>
        </w:rPr>
        <w:t>C.D.</w:t>
      </w:r>
      <w:r w:rsidR="00ED3F47" w:rsidRPr="00392B10">
        <w:rPr>
          <w:rFonts w:asciiTheme="minorHAnsi" w:hAnsiTheme="minorHAnsi"/>
          <w:lang w:val="en-US"/>
        </w:rPr>
        <w:t xml:space="preserve"> (2013), “</w:t>
      </w:r>
      <w:r w:rsidRPr="00392B10">
        <w:rPr>
          <w:rFonts w:asciiTheme="minorHAnsi" w:hAnsiTheme="minorHAnsi"/>
          <w:lang w:val="en-US"/>
        </w:rPr>
        <w:t xml:space="preserve">Adaptive multi-restart Tabu </w:t>
      </w:r>
      <w:r w:rsidR="00620FCA" w:rsidRPr="00392B10">
        <w:rPr>
          <w:rFonts w:asciiTheme="minorHAnsi" w:hAnsiTheme="minorHAnsi"/>
          <w:lang w:val="en-US"/>
        </w:rPr>
        <w:t>s</w:t>
      </w:r>
      <w:r w:rsidRPr="00392B10">
        <w:rPr>
          <w:rFonts w:asciiTheme="minorHAnsi" w:hAnsiTheme="minorHAnsi"/>
          <w:lang w:val="en-US"/>
        </w:rPr>
        <w:t>earch algorithm for the vehicle routing problem with cross-docking</w:t>
      </w:r>
      <w:r w:rsidR="00ED3F47" w:rsidRPr="00392B10">
        <w:rPr>
          <w:rFonts w:asciiTheme="minorHAnsi" w:hAnsiTheme="minorHAnsi"/>
          <w:lang w:val="en-US"/>
        </w:rPr>
        <w:t>”,</w:t>
      </w:r>
      <w:r w:rsidRPr="00392B10">
        <w:rPr>
          <w:rFonts w:asciiTheme="minorHAnsi" w:hAnsiTheme="minorHAnsi"/>
          <w:lang w:val="en-US"/>
        </w:rPr>
        <w:t xml:space="preserve"> </w:t>
      </w:r>
      <w:r w:rsidRPr="00D045A2">
        <w:rPr>
          <w:rFonts w:asciiTheme="minorHAnsi" w:hAnsiTheme="minorHAnsi"/>
          <w:i/>
          <w:lang w:val="en-US"/>
        </w:rPr>
        <w:t xml:space="preserve">Optimization </w:t>
      </w:r>
      <w:r w:rsidR="00D045A2">
        <w:rPr>
          <w:rFonts w:asciiTheme="minorHAnsi" w:hAnsiTheme="minorHAnsi"/>
          <w:i/>
          <w:lang w:val="en-US"/>
        </w:rPr>
        <w:t>L</w:t>
      </w:r>
      <w:r w:rsidRPr="00D045A2">
        <w:rPr>
          <w:rFonts w:asciiTheme="minorHAnsi" w:hAnsiTheme="minorHAnsi"/>
          <w:i/>
          <w:lang w:val="en-US"/>
        </w:rPr>
        <w:t>etters</w:t>
      </w:r>
      <w:r w:rsidRPr="00392B10">
        <w:rPr>
          <w:rFonts w:asciiTheme="minorHAnsi" w:hAnsiTheme="minorHAnsi"/>
          <w:lang w:val="en-US"/>
        </w:rPr>
        <w:t>,</w:t>
      </w:r>
      <w:r w:rsidR="00ED3F47" w:rsidRPr="00392B10">
        <w:rPr>
          <w:rFonts w:asciiTheme="minorHAnsi" w:hAnsiTheme="minorHAnsi"/>
          <w:lang w:val="en-US"/>
        </w:rPr>
        <w:t xml:space="preserve"> </w:t>
      </w:r>
      <w:bookmarkStart w:id="592" w:name="OLE_LINK453"/>
      <w:bookmarkStart w:id="593" w:name="OLE_LINK454"/>
      <w:r w:rsidR="00ED3F47" w:rsidRPr="00392B10">
        <w:rPr>
          <w:rFonts w:asciiTheme="minorHAnsi" w:hAnsiTheme="minorHAnsi"/>
          <w:lang w:val="en-US"/>
        </w:rPr>
        <w:t>Vol. 7 No. 7, pp. 1583-1596.</w:t>
      </w:r>
    </w:p>
    <w:p w:rsidR="000153FA" w:rsidRDefault="000153FA" w:rsidP="00DB1AF7">
      <w:pPr>
        <w:pStyle w:val="RoadefRef"/>
        <w:ind w:left="0" w:firstLine="0"/>
        <w:rPr>
          <w:rFonts w:asciiTheme="minorHAnsi" w:hAnsiTheme="minorHAnsi"/>
          <w:lang w:val="en-US"/>
        </w:rPr>
      </w:pPr>
      <w:bookmarkStart w:id="594" w:name="OLE_LINK375"/>
      <w:bookmarkStart w:id="595" w:name="OLE_LINK383"/>
      <w:bookmarkStart w:id="596" w:name="OLE_LINK384"/>
      <w:bookmarkEnd w:id="592"/>
      <w:bookmarkEnd w:id="593"/>
      <w:proofErr w:type="spellStart"/>
      <w:r w:rsidRPr="00392B10">
        <w:rPr>
          <w:rFonts w:asciiTheme="minorHAnsi" w:hAnsiTheme="minorHAnsi"/>
          <w:lang w:val="en-US"/>
        </w:rPr>
        <w:t>Wen</w:t>
      </w:r>
      <w:proofErr w:type="spellEnd"/>
      <w:r w:rsidRPr="00392B10">
        <w:rPr>
          <w:rFonts w:asciiTheme="minorHAnsi" w:hAnsiTheme="minorHAnsi"/>
          <w:lang w:val="en-US"/>
        </w:rPr>
        <w:t xml:space="preserve">, M., Larsen, J., Clausen, J., </w:t>
      </w:r>
      <w:proofErr w:type="spellStart"/>
      <w:r w:rsidRPr="00392B10">
        <w:rPr>
          <w:rFonts w:asciiTheme="minorHAnsi" w:hAnsiTheme="minorHAnsi"/>
          <w:lang w:val="en-US"/>
        </w:rPr>
        <w:t>Cordeau</w:t>
      </w:r>
      <w:proofErr w:type="spellEnd"/>
      <w:r w:rsidRPr="00392B10">
        <w:rPr>
          <w:rFonts w:asciiTheme="minorHAnsi" w:hAnsiTheme="minorHAnsi"/>
          <w:lang w:val="en-US"/>
        </w:rPr>
        <w:t xml:space="preserve">, J.F. and </w:t>
      </w:r>
      <w:proofErr w:type="spellStart"/>
      <w:r w:rsidRPr="00392B10">
        <w:rPr>
          <w:rFonts w:asciiTheme="minorHAnsi" w:hAnsiTheme="minorHAnsi"/>
          <w:lang w:val="en-US"/>
        </w:rPr>
        <w:t>Laporte</w:t>
      </w:r>
      <w:proofErr w:type="spellEnd"/>
      <w:r>
        <w:rPr>
          <w:rFonts w:asciiTheme="minorHAnsi" w:hAnsiTheme="minorHAnsi"/>
          <w:lang w:val="en-US"/>
        </w:rPr>
        <w:t>, G.</w:t>
      </w:r>
      <w:r w:rsidRPr="00392B10">
        <w:rPr>
          <w:rFonts w:asciiTheme="minorHAnsi" w:hAnsiTheme="minorHAnsi"/>
          <w:lang w:val="en-US"/>
        </w:rPr>
        <w:t xml:space="preserve"> (2009), “Vehicle routing with cross-docking”, </w:t>
      </w:r>
      <w:r w:rsidRPr="00D045A2">
        <w:rPr>
          <w:rFonts w:asciiTheme="minorHAnsi" w:hAnsiTheme="minorHAnsi"/>
          <w:i/>
          <w:lang w:val="en-US"/>
        </w:rPr>
        <w:t>Journal of the Operational Research Society</w:t>
      </w:r>
      <w:r w:rsidRPr="00392B10">
        <w:rPr>
          <w:rFonts w:asciiTheme="minorHAnsi" w:hAnsiTheme="minorHAnsi"/>
          <w:lang w:val="en-US"/>
        </w:rPr>
        <w:t xml:space="preserve">, </w:t>
      </w:r>
      <w:bookmarkStart w:id="597" w:name="OLE_LINK449"/>
      <w:bookmarkStart w:id="598" w:name="OLE_LINK450"/>
      <w:r w:rsidRPr="00392B10">
        <w:rPr>
          <w:rFonts w:asciiTheme="minorHAnsi" w:hAnsiTheme="minorHAnsi"/>
          <w:lang w:val="en-US"/>
        </w:rPr>
        <w:t>Vol. 60 No. 12, pp. 1708-1718.</w:t>
      </w:r>
      <w:bookmarkEnd w:id="597"/>
      <w:bookmarkEnd w:id="598"/>
    </w:p>
    <w:p w:rsidR="000153FA" w:rsidRPr="00392B10" w:rsidRDefault="000153FA" w:rsidP="000153FA">
      <w:pPr>
        <w:pStyle w:val="RoadefRef"/>
        <w:ind w:left="0" w:firstLine="0"/>
        <w:rPr>
          <w:rFonts w:asciiTheme="minorHAnsi" w:hAnsiTheme="minorHAnsi"/>
          <w:lang w:val="en-US"/>
        </w:rPr>
      </w:pPr>
      <w:bookmarkStart w:id="599" w:name="OLE_LINK755"/>
      <w:bookmarkStart w:id="600" w:name="OLE_LINK756"/>
      <w:bookmarkStart w:id="601" w:name="OLE_LINK757"/>
      <w:bookmarkStart w:id="602" w:name="OLE_LINK758"/>
      <w:proofErr w:type="spellStart"/>
      <w:r w:rsidRPr="00392B10">
        <w:rPr>
          <w:rFonts w:asciiTheme="minorHAnsi" w:hAnsiTheme="minorHAnsi"/>
          <w:lang w:val="en-US"/>
        </w:rPr>
        <w:t>Whittley</w:t>
      </w:r>
      <w:proofErr w:type="spellEnd"/>
      <w:r w:rsidRPr="00392B10">
        <w:rPr>
          <w:rFonts w:asciiTheme="minorHAnsi" w:hAnsiTheme="minorHAnsi"/>
          <w:lang w:val="en-US"/>
        </w:rPr>
        <w:t>, I.M. and Smith</w:t>
      </w:r>
      <w:r>
        <w:rPr>
          <w:rFonts w:asciiTheme="minorHAnsi" w:hAnsiTheme="minorHAnsi"/>
          <w:lang w:val="en-US"/>
        </w:rPr>
        <w:t>, G.D.</w:t>
      </w:r>
      <w:r w:rsidRPr="00392B10">
        <w:rPr>
          <w:rFonts w:asciiTheme="minorHAnsi" w:hAnsiTheme="minorHAnsi"/>
          <w:lang w:val="en-US"/>
        </w:rPr>
        <w:t xml:space="preserve"> (2004), “The attribute based hill climber”, </w:t>
      </w:r>
      <w:r w:rsidRPr="00D045A2">
        <w:rPr>
          <w:rFonts w:asciiTheme="minorHAnsi" w:hAnsiTheme="minorHAnsi"/>
          <w:i/>
          <w:lang w:val="en-US"/>
        </w:rPr>
        <w:t xml:space="preserve">Journal of Mathematical </w:t>
      </w:r>
      <w:proofErr w:type="spellStart"/>
      <w:r w:rsidRPr="00D045A2">
        <w:rPr>
          <w:rFonts w:asciiTheme="minorHAnsi" w:hAnsiTheme="minorHAnsi"/>
          <w:i/>
          <w:lang w:val="en-US"/>
        </w:rPr>
        <w:t>Modelling</w:t>
      </w:r>
      <w:proofErr w:type="spellEnd"/>
      <w:r w:rsidRPr="00D045A2">
        <w:rPr>
          <w:rFonts w:asciiTheme="minorHAnsi" w:hAnsiTheme="minorHAnsi"/>
          <w:i/>
          <w:lang w:val="en-US"/>
        </w:rPr>
        <w:t xml:space="preserve"> and Algorithms</w:t>
      </w:r>
      <w:r w:rsidRPr="00392B10">
        <w:rPr>
          <w:rFonts w:asciiTheme="minorHAnsi" w:hAnsiTheme="minorHAnsi"/>
          <w:lang w:val="en-US"/>
        </w:rPr>
        <w:t xml:space="preserve">, </w:t>
      </w:r>
      <w:bookmarkStart w:id="603" w:name="OLE_LINK471"/>
      <w:bookmarkStart w:id="604" w:name="OLE_LINK472"/>
      <w:bookmarkStart w:id="605" w:name="OLE_LINK473"/>
      <w:r w:rsidRPr="00392B10">
        <w:rPr>
          <w:rFonts w:asciiTheme="minorHAnsi" w:hAnsiTheme="minorHAnsi"/>
          <w:lang w:val="en-US"/>
        </w:rPr>
        <w:t>Vol. 3 No. 2, pp. 167–178.</w:t>
      </w:r>
      <w:bookmarkEnd w:id="603"/>
      <w:bookmarkEnd w:id="604"/>
      <w:bookmarkEnd w:id="605"/>
    </w:p>
    <w:bookmarkEnd w:id="599"/>
    <w:bookmarkEnd w:id="600"/>
    <w:bookmarkEnd w:id="601"/>
    <w:bookmarkEnd w:id="602"/>
    <w:p w:rsidR="00D9704D" w:rsidRPr="00392B10" w:rsidRDefault="00D9704D" w:rsidP="00DB1AF7">
      <w:pPr>
        <w:pStyle w:val="RoadefRef"/>
        <w:ind w:left="0" w:firstLine="0"/>
        <w:rPr>
          <w:rFonts w:asciiTheme="minorHAnsi" w:hAnsiTheme="minorHAnsi"/>
          <w:lang w:val="en-US"/>
        </w:rPr>
      </w:pPr>
      <w:proofErr w:type="spellStart"/>
      <w:proofErr w:type="gramStart"/>
      <w:r w:rsidRPr="00392B10">
        <w:rPr>
          <w:rFonts w:asciiTheme="minorHAnsi" w:hAnsiTheme="minorHAnsi"/>
          <w:lang w:val="en-US"/>
        </w:rPr>
        <w:t>Zachariadis</w:t>
      </w:r>
      <w:proofErr w:type="spellEnd"/>
      <w:r w:rsidR="00A74FC8" w:rsidRPr="00392B10">
        <w:rPr>
          <w:rFonts w:asciiTheme="minorHAnsi" w:hAnsiTheme="minorHAnsi"/>
          <w:lang w:val="en-US"/>
        </w:rPr>
        <w:t>.,</w:t>
      </w:r>
      <w:proofErr w:type="gramEnd"/>
      <w:r w:rsidRPr="00392B10">
        <w:rPr>
          <w:rFonts w:asciiTheme="minorHAnsi" w:hAnsiTheme="minorHAnsi"/>
          <w:lang w:val="en-US"/>
        </w:rPr>
        <w:t xml:space="preserve"> </w:t>
      </w:r>
      <w:r w:rsidR="00A74FC8" w:rsidRPr="00392B10">
        <w:rPr>
          <w:rFonts w:asciiTheme="minorHAnsi" w:hAnsiTheme="minorHAnsi"/>
          <w:lang w:val="en-US"/>
        </w:rPr>
        <w:t xml:space="preserve">E.E. </w:t>
      </w:r>
      <w:r w:rsidRPr="00392B10">
        <w:rPr>
          <w:rFonts w:asciiTheme="minorHAnsi" w:hAnsiTheme="minorHAnsi"/>
          <w:lang w:val="en-US"/>
        </w:rPr>
        <w:t xml:space="preserve">and </w:t>
      </w:r>
      <w:proofErr w:type="spellStart"/>
      <w:r w:rsidRPr="00392B10">
        <w:rPr>
          <w:rFonts w:asciiTheme="minorHAnsi" w:hAnsiTheme="minorHAnsi"/>
          <w:lang w:val="en-US"/>
        </w:rPr>
        <w:t>Kiranoudis</w:t>
      </w:r>
      <w:bookmarkEnd w:id="594"/>
      <w:bookmarkEnd w:id="595"/>
      <w:bookmarkEnd w:id="596"/>
      <w:proofErr w:type="spellEnd"/>
      <w:r w:rsidR="00961CAC">
        <w:rPr>
          <w:rFonts w:asciiTheme="minorHAnsi" w:hAnsiTheme="minorHAnsi"/>
          <w:lang w:val="en-US"/>
        </w:rPr>
        <w:t xml:space="preserve">, C.T. </w:t>
      </w:r>
      <w:r w:rsidR="00A74FC8" w:rsidRPr="00392B10">
        <w:rPr>
          <w:rFonts w:asciiTheme="minorHAnsi" w:hAnsiTheme="minorHAnsi"/>
          <w:lang w:val="en-US"/>
        </w:rPr>
        <w:t>(2010), “</w:t>
      </w:r>
      <w:r w:rsidRPr="00392B10">
        <w:rPr>
          <w:rFonts w:asciiTheme="minorHAnsi" w:hAnsiTheme="minorHAnsi"/>
          <w:lang w:val="en-US"/>
        </w:rPr>
        <w:t>A strategy for reducing the computational complexity of local search-based methods for the vehicle routing problem</w:t>
      </w:r>
      <w:r w:rsidR="00A74FC8" w:rsidRPr="00392B10">
        <w:rPr>
          <w:rFonts w:asciiTheme="minorHAnsi" w:hAnsiTheme="minorHAnsi"/>
          <w:lang w:val="en-US"/>
        </w:rPr>
        <w:t>”,</w:t>
      </w:r>
      <w:r w:rsidRPr="00392B10">
        <w:rPr>
          <w:rFonts w:asciiTheme="minorHAnsi" w:hAnsiTheme="minorHAnsi"/>
          <w:lang w:val="en-US"/>
        </w:rPr>
        <w:t xml:space="preserve"> </w:t>
      </w:r>
      <w:r w:rsidRPr="00D045A2">
        <w:rPr>
          <w:rFonts w:asciiTheme="minorHAnsi" w:hAnsiTheme="minorHAnsi"/>
          <w:i/>
          <w:lang w:val="en-US"/>
        </w:rPr>
        <w:t xml:space="preserve">Computers </w:t>
      </w:r>
      <w:r w:rsidR="00A74FC8" w:rsidRPr="00D045A2">
        <w:rPr>
          <w:rFonts w:asciiTheme="minorHAnsi" w:hAnsiTheme="minorHAnsi"/>
          <w:i/>
          <w:lang w:val="en-US"/>
        </w:rPr>
        <w:t>and</w:t>
      </w:r>
      <w:r w:rsidRPr="00D045A2">
        <w:rPr>
          <w:rFonts w:asciiTheme="minorHAnsi" w:hAnsiTheme="minorHAnsi"/>
          <w:i/>
          <w:lang w:val="en-US"/>
        </w:rPr>
        <w:t xml:space="preserve"> Operations Research</w:t>
      </w:r>
      <w:r w:rsidRPr="00392B10">
        <w:rPr>
          <w:rFonts w:asciiTheme="minorHAnsi" w:hAnsiTheme="minorHAnsi"/>
          <w:lang w:val="en-US"/>
        </w:rPr>
        <w:t>,</w:t>
      </w:r>
      <w:r w:rsidR="00A74FC8" w:rsidRPr="00392B10">
        <w:rPr>
          <w:rFonts w:asciiTheme="minorHAnsi" w:hAnsiTheme="minorHAnsi"/>
          <w:lang w:val="en-US"/>
        </w:rPr>
        <w:t xml:space="preserve"> </w:t>
      </w:r>
      <w:bookmarkStart w:id="606" w:name="OLE_LINK459"/>
      <w:bookmarkStart w:id="607" w:name="OLE_LINK460"/>
      <w:r w:rsidR="00A74FC8" w:rsidRPr="00392B10">
        <w:rPr>
          <w:rFonts w:asciiTheme="minorHAnsi" w:hAnsiTheme="minorHAnsi"/>
          <w:lang w:val="en-US"/>
        </w:rPr>
        <w:t>Vol. 37 No. 12, pp. 2089–2105.</w:t>
      </w:r>
    </w:p>
    <w:bookmarkEnd w:id="606"/>
    <w:bookmarkEnd w:id="607"/>
    <w:p w:rsidR="007A66C6" w:rsidRPr="00392B10" w:rsidRDefault="007A66C6" w:rsidP="00DB1AF7">
      <w:pPr>
        <w:spacing w:after="0" w:line="240" w:lineRule="auto"/>
        <w:jc w:val="both"/>
        <w:rPr>
          <w:rFonts w:eastAsia="Calibri" w:cs="Times New Roman"/>
        </w:rPr>
      </w:pPr>
    </w:p>
    <w:bookmarkEnd w:id="4"/>
    <w:bookmarkEnd w:id="5"/>
    <w:bookmarkEnd w:id="6"/>
    <w:bookmarkEnd w:id="546"/>
    <w:bookmarkEnd w:id="547"/>
    <w:p w:rsidR="00060492" w:rsidRDefault="00060492" w:rsidP="005B70EC">
      <w:pPr>
        <w:jc w:val="both"/>
      </w:pPr>
      <w:r w:rsidRPr="00060492">
        <w:rPr>
          <w:b/>
        </w:rPr>
        <w:t>Corresponding author</w:t>
      </w:r>
      <w:r>
        <w:t xml:space="preserve"> </w:t>
      </w:r>
    </w:p>
    <w:p w:rsidR="005F113C" w:rsidRDefault="00060492" w:rsidP="005B70EC">
      <w:pPr>
        <w:jc w:val="both"/>
        <w:rPr>
          <w:rFonts w:eastAsia="Calibri" w:cs="Times New Roman"/>
        </w:rPr>
      </w:pPr>
      <w:proofErr w:type="spellStart"/>
      <w:r>
        <w:t>Amalia</w:t>
      </w:r>
      <w:proofErr w:type="spellEnd"/>
      <w:r>
        <w:t xml:space="preserve"> </w:t>
      </w:r>
      <w:proofErr w:type="spellStart"/>
      <w:r>
        <w:t>Nikolopoulou</w:t>
      </w:r>
      <w:proofErr w:type="spellEnd"/>
      <w:r>
        <w:t xml:space="preserve"> can be contacted at: anikolop@aueb.gr</w:t>
      </w:r>
    </w:p>
    <w:p w:rsidR="00EB17DC" w:rsidRPr="00EB17DC" w:rsidRDefault="00EB17DC" w:rsidP="005B70EC">
      <w:pPr>
        <w:jc w:val="both"/>
        <w:rPr>
          <w:rFonts w:eastAsia="Calibri" w:cs="Times New Roman"/>
          <w:b/>
        </w:rPr>
      </w:pPr>
      <w:r w:rsidRPr="00EB17DC">
        <w:rPr>
          <w:rFonts w:eastAsia="Calibri" w:cs="Times New Roman"/>
          <w:b/>
        </w:rPr>
        <w:t>Appendix A</w:t>
      </w:r>
    </w:p>
    <w:p w:rsidR="00EB17DC" w:rsidRDefault="00EB17DC" w:rsidP="00EB17DC">
      <w:pPr>
        <w:jc w:val="both"/>
        <w:rPr>
          <w:rFonts w:eastAsia="Calibri" w:cs="Times New Roman"/>
        </w:rPr>
      </w:pPr>
      <w:r>
        <w:rPr>
          <w:rFonts w:eastAsia="Calibri" w:cs="Times New Roman"/>
        </w:rPr>
        <w:t xml:space="preserve">Appendix </w:t>
      </w:r>
      <w:proofErr w:type="gramStart"/>
      <w:r>
        <w:rPr>
          <w:rFonts w:eastAsia="Calibri" w:cs="Times New Roman"/>
        </w:rPr>
        <w:t>A</w:t>
      </w:r>
      <w:proofErr w:type="gramEnd"/>
      <w:r>
        <w:rPr>
          <w:rFonts w:eastAsia="Calibri" w:cs="Times New Roman"/>
        </w:rPr>
        <w:t xml:space="preserve"> containing Tables A.1 – A.13 is provided in the Online Supplementary Material of the present </w:t>
      </w:r>
      <w:r w:rsidR="001C40EE">
        <w:rPr>
          <w:rFonts w:eastAsia="Calibri" w:cs="Times New Roman"/>
        </w:rPr>
        <w:t>paper</w:t>
      </w:r>
      <w:r>
        <w:rPr>
          <w:rFonts w:eastAsia="Calibri" w:cs="Times New Roman"/>
        </w:rPr>
        <w:t>.</w:t>
      </w:r>
    </w:p>
    <w:p w:rsidR="00EB17DC" w:rsidRPr="00066BD4" w:rsidRDefault="00EB17DC" w:rsidP="005B70EC">
      <w:pPr>
        <w:jc w:val="both"/>
        <w:rPr>
          <w:rFonts w:eastAsia="Calibri" w:cs="Times New Roman"/>
        </w:rPr>
      </w:pPr>
    </w:p>
    <w:p w:rsidR="00C65C00" w:rsidRPr="00066BD4" w:rsidRDefault="00C65C00">
      <w:pPr>
        <w:jc w:val="both"/>
        <w:rPr>
          <w:rFonts w:eastAsia="Calibri" w:cs="Times New Roman"/>
        </w:rPr>
      </w:pPr>
    </w:p>
    <w:sectPr w:rsidR="00C65C00" w:rsidRPr="00066BD4" w:rsidSect="00F64C5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2" w:author="Panagiotis Repoussis" w:date="2015-07-27T06:50:00Z" w:initials="PR">
    <w:p w:rsidR="006E584A" w:rsidRDefault="006E584A">
      <w:pPr>
        <w:pStyle w:val="CommentText"/>
      </w:pPr>
      <w:r>
        <w:rPr>
          <w:rStyle w:val="CommentReference"/>
        </w:rPr>
        <w:annotationRef/>
      </w:r>
    </w:p>
  </w:comment>
  <w:comment w:id="518" w:author="Panagiotis Repoussis" w:date="2015-07-27T06:50:00Z" w:initials="PR">
    <w:p w:rsidR="006E584A" w:rsidRDefault="006E584A" w:rsidP="00F8175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B28D8" w15:done="0"/>
  <w15:commentEx w15:paraId="51EA9F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CC" w:rsidRDefault="00F94DCC" w:rsidP="00B35233">
      <w:pPr>
        <w:spacing w:after="0" w:line="240" w:lineRule="auto"/>
      </w:pPr>
      <w:r>
        <w:separator/>
      </w:r>
    </w:p>
  </w:endnote>
  <w:endnote w:type="continuationSeparator" w:id="0">
    <w:p w:rsidR="00F94DCC" w:rsidRDefault="00F94DCC" w:rsidP="00B35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4DF60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CC" w:rsidRDefault="00F94DCC" w:rsidP="00B35233">
      <w:pPr>
        <w:spacing w:after="0" w:line="240" w:lineRule="auto"/>
      </w:pPr>
      <w:r>
        <w:separator/>
      </w:r>
    </w:p>
  </w:footnote>
  <w:footnote w:type="continuationSeparator" w:id="0">
    <w:p w:rsidR="00F94DCC" w:rsidRDefault="00F94DCC" w:rsidP="00B35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404"/>
    <w:multiLevelType w:val="hybridMultilevel"/>
    <w:tmpl w:val="0928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E4286"/>
    <w:multiLevelType w:val="multilevel"/>
    <w:tmpl w:val="6AC20692"/>
    <w:lvl w:ilvl="0">
      <w:start w:val="5"/>
      <w:numFmt w:val="decimal"/>
      <w:lvlText w:val="%1."/>
      <w:lvlJc w:val="left"/>
      <w:pPr>
        <w:ind w:left="720" w:hanging="360"/>
      </w:pPr>
      <w:rPr>
        <w:rFonts w:cs="Times New Roman" w:hint="default"/>
      </w:rPr>
    </w:lvl>
    <w:lvl w:ilvl="1">
      <w:start w:val="1"/>
      <w:numFmt w:val="decimal"/>
      <w:isLgl/>
      <w:lvlText w:val="%1.%2"/>
      <w:lvlJc w:val="left"/>
      <w:pPr>
        <w:ind w:left="960" w:hanging="360"/>
      </w:pPr>
      <w:rPr>
        <w:rFonts w:asciiTheme="minorHAnsi" w:eastAsia="Calibri" w:hAnsiTheme="minorHAnsi" w:cs="Times New Roman" w:hint="default"/>
      </w:rPr>
    </w:lvl>
    <w:lvl w:ilvl="2">
      <w:start w:val="1"/>
      <w:numFmt w:val="decimal"/>
      <w:isLgl/>
      <w:lvlText w:val="%1.%2.%3"/>
      <w:lvlJc w:val="left"/>
      <w:pPr>
        <w:ind w:left="1560" w:hanging="720"/>
      </w:pPr>
      <w:rPr>
        <w:rFonts w:ascii="Times New Roman" w:eastAsia="Calibri" w:hAnsi="Times New Roman" w:cs="Times New Roman" w:hint="default"/>
      </w:rPr>
    </w:lvl>
    <w:lvl w:ilvl="3">
      <w:start w:val="1"/>
      <w:numFmt w:val="decimal"/>
      <w:isLgl/>
      <w:lvlText w:val="%1.%2.%3.%4"/>
      <w:lvlJc w:val="left"/>
      <w:pPr>
        <w:ind w:left="1800" w:hanging="720"/>
      </w:pPr>
      <w:rPr>
        <w:rFonts w:ascii="Times New Roman" w:eastAsia="Calibri" w:hAnsi="Times New Roman" w:cs="Times New Roman" w:hint="default"/>
      </w:rPr>
    </w:lvl>
    <w:lvl w:ilvl="4">
      <w:start w:val="1"/>
      <w:numFmt w:val="decimal"/>
      <w:isLgl/>
      <w:lvlText w:val="%1.%2.%3.%4.%5"/>
      <w:lvlJc w:val="left"/>
      <w:pPr>
        <w:ind w:left="2400" w:hanging="1080"/>
      </w:pPr>
      <w:rPr>
        <w:rFonts w:ascii="Times New Roman" w:eastAsia="Calibri" w:hAnsi="Times New Roman" w:cs="Times New Roman" w:hint="default"/>
      </w:rPr>
    </w:lvl>
    <w:lvl w:ilvl="5">
      <w:start w:val="1"/>
      <w:numFmt w:val="decimal"/>
      <w:isLgl/>
      <w:lvlText w:val="%1.%2.%3.%4.%5.%6"/>
      <w:lvlJc w:val="left"/>
      <w:pPr>
        <w:ind w:left="2640" w:hanging="1080"/>
      </w:pPr>
      <w:rPr>
        <w:rFonts w:ascii="Times New Roman" w:eastAsia="Calibri" w:hAnsi="Times New Roman" w:cs="Times New Roman" w:hint="default"/>
      </w:rPr>
    </w:lvl>
    <w:lvl w:ilvl="6">
      <w:start w:val="1"/>
      <w:numFmt w:val="decimal"/>
      <w:isLgl/>
      <w:lvlText w:val="%1.%2.%3.%4.%5.%6.%7"/>
      <w:lvlJc w:val="left"/>
      <w:pPr>
        <w:ind w:left="3240" w:hanging="1440"/>
      </w:pPr>
      <w:rPr>
        <w:rFonts w:ascii="Times New Roman" w:eastAsia="Calibri" w:hAnsi="Times New Roman" w:cs="Times New Roman" w:hint="default"/>
      </w:rPr>
    </w:lvl>
    <w:lvl w:ilvl="7">
      <w:start w:val="1"/>
      <w:numFmt w:val="decimal"/>
      <w:isLgl/>
      <w:lvlText w:val="%1.%2.%3.%4.%5.%6.%7.%8"/>
      <w:lvlJc w:val="left"/>
      <w:pPr>
        <w:ind w:left="3480" w:hanging="1440"/>
      </w:pPr>
      <w:rPr>
        <w:rFonts w:ascii="Times New Roman" w:eastAsia="Calibri" w:hAnsi="Times New Roman" w:cs="Times New Roman" w:hint="default"/>
      </w:rPr>
    </w:lvl>
    <w:lvl w:ilvl="8">
      <w:start w:val="1"/>
      <w:numFmt w:val="decimal"/>
      <w:isLgl/>
      <w:lvlText w:val="%1.%2.%3.%4.%5.%6.%7.%8.%9"/>
      <w:lvlJc w:val="left"/>
      <w:pPr>
        <w:ind w:left="3720" w:hanging="1440"/>
      </w:pPr>
      <w:rPr>
        <w:rFonts w:ascii="Times New Roman" w:eastAsia="Calibri" w:hAnsi="Times New Roman" w:cs="Times New Roman" w:hint="default"/>
      </w:rPr>
    </w:lvl>
  </w:abstractNum>
  <w:abstractNum w:abstractNumId="2">
    <w:nsid w:val="0EE35DB9"/>
    <w:multiLevelType w:val="multilevel"/>
    <w:tmpl w:val="8432F7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9C39D3"/>
    <w:multiLevelType w:val="hybridMultilevel"/>
    <w:tmpl w:val="7364453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93B64"/>
    <w:multiLevelType w:val="hybridMultilevel"/>
    <w:tmpl w:val="CBBC879C"/>
    <w:lvl w:ilvl="0" w:tplc="3968B79E">
      <w:start w:val="4"/>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1B1D5109"/>
    <w:multiLevelType w:val="hybridMultilevel"/>
    <w:tmpl w:val="7828F3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E18A3"/>
    <w:multiLevelType w:val="hybridMultilevel"/>
    <w:tmpl w:val="7150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B1B13"/>
    <w:multiLevelType w:val="hybridMultilevel"/>
    <w:tmpl w:val="4E50D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7518D"/>
    <w:multiLevelType w:val="hybridMultilevel"/>
    <w:tmpl w:val="C53AB36E"/>
    <w:lvl w:ilvl="0" w:tplc="1A744396">
      <w:start w:val="1"/>
      <w:numFmt w:val="bullet"/>
      <w:lvlText w:val=""/>
      <w:lvlJc w:val="left"/>
      <w:pPr>
        <w:tabs>
          <w:tab w:val="num" w:pos="720"/>
        </w:tabs>
        <w:ind w:left="720" w:hanging="360"/>
      </w:pPr>
      <w:rPr>
        <w:rFonts w:ascii="Wingdings" w:hAnsi="Wingdings" w:hint="default"/>
      </w:rPr>
    </w:lvl>
    <w:lvl w:ilvl="1" w:tplc="3C8C190A" w:tentative="1">
      <w:start w:val="1"/>
      <w:numFmt w:val="bullet"/>
      <w:lvlText w:val=""/>
      <w:lvlJc w:val="left"/>
      <w:pPr>
        <w:tabs>
          <w:tab w:val="num" w:pos="1440"/>
        </w:tabs>
        <w:ind w:left="1440" w:hanging="360"/>
      </w:pPr>
      <w:rPr>
        <w:rFonts w:ascii="Wingdings" w:hAnsi="Wingdings" w:hint="default"/>
      </w:rPr>
    </w:lvl>
    <w:lvl w:ilvl="2" w:tplc="F5AEDD90" w:tentative="1">
      <w:start w:val="1"/>
      <w:numFmt w:val="bullet"/>
      <w:lvlText w:val=""/>
      <w:lvlJc w:val="left"/>
      <w:pPr>
        <w:tabs>
          <w:tab w:val="num" w:pos="2160"/>
        </w:tabs>
        <w:ind w:left="2160" w:hanging="360"/>
      </w:pPr>
      <w:rPr>
        <w:rFonts w:ascii="Wingdings" w:hAnsi="Wingdings" w:hint="default"/>
      </w:rPr>
    </w:lvl>
    <w:lvl w:ilvl="3" w:tplc="9062A82C" w:tentative="1">
      <w:start w:val="1"/>
      <w:numFmt w:val="bullet"/>
      <w:lvlText w:val=""/>
      <w:lvlJc w:val="left"/>
      <w:pPr>
        <w:tabs>
          <w:tab w:val="num" w:pos="2880"/>
        </w:tabs>
        <w:ind w:left="2880" w:hanging="360"/>
      </w:pPr>
      <w:rPr>
        <w:rFonts w:ascii="Wingdings" w:hAnsi="Wingdings" w:hint="default"/>
      </w:rPr>
    </w:lvl>
    <w:lvl w:ilvl="4" w:tplc="10EEC42E" w:tentative="1">
      <w:start w:val="1"/>
      <w:numFmt w:val="bullet"/>
      <w:lvlText w:val=""/>
      <w:lvlJc w:val="left"/>
      <w:pPr>
        <w:tabs>
          <w:tab w:val="num" w:pos="3600"/>
        </w:tabs>
        <w:ind w:left="3600" w:hanging="360"/>
      </w:pPr>
      <w:rPr>
        <w:rFonts w:ascii="Wingdings" w:hAnsi="Wingdings" w:hint="default"/>
      </w:rPr>
    </w:lvl>
    <w:lvl w:ilvl="5" w:tplc="9000E004" w:tentative="1">
      <w:start w:val="1"/>
      <w:numFmt w:val="bullet"/>
      <w:lvlText w:val=""/>
      <w:lvlJc w:val="left"/>
      <w:pPr>
        <w:tabs>
          <w:tab w:val="num" w:pos="4320"/>
        </w:tabs>
        <w:ind w:left="4320" w:hanging="360"/>
      </w:pPr>
      <w:rPr>
        <w:rFonts w:ascii="Wingdings" w:hAnsi="Wingdings" w:hint="default"/>
      </w:rPr>
    </w:lvl>
    <w:lvl w:ilvl="6" w:tplc="A36864D0" w:tentative="1">
      <w:start w:val="1"/>
      <w:numFmt w:val="bullet"/>
      <w:lvlText w:val=""/>
      <w:lvlJc w:val="left"/>
      <w:pPr>
        <w:tabs>
          <w:tab w:val="num" w:pos="5040"/>
        </w:tabs>
        <w:ind w:left="5040" w:hanging="360"/>
      </w:pPr>
      <w:rPr>
        <w:rFonts w:ascii="Wingdings" w:hAnsi="Wingdings" w:hint="default"/>
      </w:rPr>
    </w:lvl>
    <w:lvl w:ilvl="7" w:tplc="02688894" w:tentative="1">
      <w:start w:val="1"/>
      <w:numFmt w:val="bullet"/>
      <w:lvlText w:val=""/>
      <w:lvlJc w:val="left"/>
      <w:pPr>
        <w:tabs>
          <w:tab w:val="num" w:pos="5760"/>
        </w:tabs>
        <w:ind w:left="5760" w:hanging="360"/>
      </w:pPr>
      <w:rPr>
        <w:rFonts w:ascii="Wingdings" w:hAnsi="Wingdings" w:hint="default"/>
      </w:rPr>
    </w:lvl>
    <w:lvl w:ilvl="8" w:tplc="29DC2882" w:tentative="1">
      <w:start w:val="1"/>
      <w:numFmt w:val="bullet"/>
      <w:lvlText w:val=""/>
      <w:lvlJc w:val="left"/>
      <w:pPr>
        <w:tabs>
          <w:tab w:val="num" w:pos="6480"/>
        </w:tabs>
        <w:ind w:left="6480" w:hanging="360"/>
      </w:pPr>
      <w:rPr>
        <w:rFonts w:ascii="Wingdings" w:hAnsi="Wingdings" w:hint="default"/>
      </w:rPr>
    </w:lvl>
  </w:abstractNum>
  <w:abstractNum w:abstractNumId="9">
    <w:nsid w:val="28952687"/>
    <w:multiLevelType w:val="hybridMultilevel"/>
    <w:tmpl w:val="27BA82CC"/>
    <w:lvl w:ilvl="0" w:tplc="5B982B38">
      <w:start w:val="1"/>
      <w:numFmt w:val="lowerLetter"/>
      <w:lvlText w:val="%1."/>
      <w:lvlJc w:val="righ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646C5"/>
    <w:multiLevelType w:val="multilevel"/>
    <w:tmpl w:val="6B96C5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51A610C"/>
    <w:multiLevelType w:val="hybridMultilevel"/>
    <w:tmpl w:val="1416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34349"/>
    <w:multiLevelType w:val="multilevel"/>
    <w:tmpl w:val="1FD6C20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6F6D0A"/>
    <w:multiLevelType w:val="multilevel"/>
    <w:tmpl w:val="D494D6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D4B279B"/>
    <w:multiLevelType w:val="multilevel"/>
    <w:tmpl w:val="60FC2EE4"/>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3F4F6B4A"/>
    <w:multiLevelType w:val="hybridMultilevel"/>
    <w:tmpl w:val="1ABA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111D4"/>
    <w:multiLevelType w:val="hybridMultilevel"/>
    <w:tmpl w:val="3594C4B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1AB72E2"/>
    <w:multiLevelType w:val="hybridMultilevel"/>
    <w:tmpl w:val="5048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35CF2"/>
    <w:multiLevelType w:val="multilevel"/>
    <w:tmpl w:val="199E146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7866DF"/>
    <w:multiLevelType w:val="hybridMultilevel"/>
    <w:tmpl w:val="5AF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50CF6"/>
    <w:multiLevelType w:val="multilevel"/>
    <w:tmpl w:val="CF9A04E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15461C"/>
    <w:multiLevelType w:val="hybridMultilevel"/>
    <w:tmpl w:val="7FDA6A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5213C"/>
    <w:multiLevelType w:val="multilevel"/>
    <w:tmpl w:val="6DCA7BE8"/>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B110038"/>
    <w:multiLevelType w:val="hybridMultilevel"/>
    <w:tmpl w:val="69E036B2"/>
    <w:lvl w:ilvl="0" w:tplc="F27C41A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560BFB"/>
    <w:multiLevelType w:val="hybridMultilevel"/>
    <w:tmpl w:val="B09E4D22"/>
    <w:lvl w:ilvl="0" w:tplc="80EEC432">
      <w:start w:val="1"/>
      <w:numFmt w:val="bullet"/>
      <w:lvlText w:val=""/>
      <w:lvlJc w:val="left"/>
      <w:pPr>
        <w:tabs>
          <w:tab w:val="num" w:pos="720"/>
        </w:tabs>
        <w:ind w:left="720" w:hanging="360"/>
      </w:pPr>
      <w:rPr>
        <w:rFonts w:ascii="Wingdings" w:hAnsi="Wingdings" w:hint="default"/>
      </w:rPr>
    </w:lvl>
    <w:lvl w:ilvl="1" w:tplc="29667996" w:tentative="1">
      <w:start w:val="1"/>
      <w:numFmt w:val="bullet"/>
      <w:lvlText w:val=""/>
      <w:lvlJc w:val="left"/>
      <w:pPr>
        <w:tabs>
          <w:tab w:val="num" w:pos="1440"/>
        </w:tabs>
        <w:ind w:left="1440" w:hanging="360"/>
      </w:pPr>
      <w:rPr>
        <w:rFonts w:ascii="Wingdings" w:hAnsi="Wingdings" w:hint="default"/>
      </w:rPr>
    </w:lvl>
    <w:lvl w:ilvl="2" w:tplc="E9503304" w:tentative="1">
      <w:start w:val="1"/>
      <w:numFmt w:val="bullet"/>
      <w:lvlText w:val=""/>
      <w:lvlJc w:val="left"/>
      <w:pPr>
        <w:tabs>
          <w:tab w:val="num" w:pos="2160"/>
        </w:tabs>
        <w:ind w:left="2160" w:hanging="360"/>
      </w:pPr>
      <w:rPr>
        <w:rFonts w:ascii="Wingdings" w:hAnsi="Wingdings" w:hint="default"/>
      </w:rPr>
    </w:lvl>
    <w:lvl w:ilvl="3" w:tplc="915E4168" w:tentative="1">
      <w:start w:val="1"/>
      <w:numFmt w:val="bullet"/>
      <w:lvlText w:val=""/>
      <w:lvlJc w:val="left"/>
      <w:pPr>
        <w:tabs>
          <w:tab w:val="num" w:pos="2880"/>
        </w:tabs>
        <w:ind w:left="2880" w:hanging="360"/>
      </w:pPr>
      <w:rPr>
        <w:rFonts w:ascii="Wingdings" w:hAnsi="Wingdings" w:hint="default"/>
      </w:rPr>
    </w:lvl>
    <w:lvl w:ilvl="4" w:tplc="8B2A473C" w:tentative="1">
      <w:start w:val="1"/>
      <w:numFmt w:val="bullet"/>
      <w:lvlText w:val=""/>
      <w:lvlJc w:val="left"/>
      <w:pPr>
        <w:tabs>
          <w:tab w:val="num" w:pos="3600"/>
        </w:tabs>
        <w:ind w:left="3600" w:hanging="360"/>
      </w:pPr>
      <w:rPr>
        <w:rFonts w:ascii="Wingdings" w:hAnsi="Wingdings" w:hint="default"/>
      </w:rPr>
    </w:lvl>
    <w:lvl w:ilvl="5" w:tplc="402EAA92" w:tentative="1">
      <w:start w:val="1"/>
      <w:numFmt w:val="bullet"/>
      <w:lvlText w:val=""/>
      <w:lvlJc w:val="left"/>
      <w:pPr>
        <w:tabs>
          <w:tab w:val="num" w:pos="4320"/>
        </w:tabs>
        <w:ind w:left="4320" w:hanging="360"/>
      </w:pPr>
      <w:rPr>
        <w:rFonts w:ascii="Wingdings" w:hAnsi="Wingdings" w:hint="default"/>
      </w:rPr>
    </w:lvl>
    <w:lvl w:ilvl="6" w:tplc="57DAC544" w:tentative="1">
      <w:start w:val="1"/>
      <w:numFmt w:val="bullet"/>
      <w:lvlText w:val=""/>
      <w:lvlJc w:val="left"/>
      <w:pPr>
        <w:tabs>
          <w:tab w:val="num" w:pos="5040"/>
        </w:tabs>
        <w:ind w:left="5040" w:hanging="360"/>
      </w:pPr>
      <w:rPr>
        <w:rFonts w:ascii="Wingdings" w:hAnsi="Wingdings" w:hint="default"/>
      </w:rPr>
    </w:lvl>
    <w:lvl w:ilvl="7" w:tplc="489CEEA0" w:tentative="1">
      <w:start w:val="1"/>
      <w:numFmt w:val="bullet"/>
      <w:lvlText w:val=""/>
      <w:lvlJc w:val="left"/>
      <w:pPr>
        <w:tabs>
          <w:tab w:val="num" w:pos="5760"/>
        </w:tabs>
        <w:ind w:left="5760" w:hanging="360"/>
      </w:pPr>
      <w:rPr>
        <w:rFonts w:ascii="Wingdings" w:hAnsi="Wingdings" w:hint="default"/>
      </w:rPr>
    </w:lvl>
    <w:lvl w:ilvl="8" w:tplc="0B3ECBE2" w:tentative="1">
      <w:start w:val="1"/>
      <w:numFmt w:val="bullet"/>
      <w:lvlText w:val=""/>
      <w:lvlJc w:val="left"/>
      <w:pPr>
        <w:tabs>
          <w:tab w:val="num" w:pos="6480"/>
        </w:tabs>
        <w:ind w:left="6480" w:hanging="360"/>
      </w:pPr>
      <w:rPr>
        <w:rFonts w:ascii="Wingdings" w:hAnsi="Wingdings" w:hint="default"/>
      </w:rPr>
    </w:lvl>
  </w:abstractNum>
  <w:abstractNum w:abstractNumId="25">
    <w:nsid w:val="52863738"/>
    <w:multiLevelType w:val="multilevel"/>
    <w:tmpl w:val="1EC0F71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EF4C26"/>
    <w:multiLevelType w:val="multilevel"/>
    <w:tmpl w:val="22B262F2"/>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56B43B8"/>
    <w:multiLevelType w:val="multilevel"/>
    <w:tmpl w:val="4320A350"/>
    <w:lvl w:ilvl="0">
      <w:start w:val="5"/>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B5B7558"/>
    <w:multiLevelType w:val="multilevel"/>
    <w:tmpl w:val="E95E7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57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DD0307B"/>
    <w:multiLevelType w:val="hybridMultilevel"/>
    <w:tmpl w:val="20C6AFA4"/>
    <w:lvl w:ilvl="0" w:tplc="6CB280C2">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47BFD"/>
    <w:multiLevelType w:val="multilevel"/>
    <w:tmpl w:val="D17AD840"/>
    <w:lvl w:ilvl="0">
      <w:start w:val="4"/>
      <w:numFmt w:val="decimal"/>
      <w:lvlText w:val="%1"/>
      <w:lvlJc w:val="left"/>
      <w:pPr>
        <w:ind w:left="435" w:hanging="435"/>
      </w:pPr>
      <w:rPr>
        <w:rFonts w:hint="default"/>
      </w:rPr>
    </w:lvl>
    <w:lvl w:ilvl="1">
      <w:start w:val="2"/>
      <w:numFmt w:val="decimal"/>
      <w:lvlText w:val="%1.%2"/>
      <w:lvlJc w:val="left"/>
      <w:pPr>
        <w:ind w:left="1162" w:hanging="435"/>
      </w:pPr>
      <w:rPr>
        <w:rFonts w:hint="default"/>
      </w:rPr>
    </w:lvl>
    <w:lvl w:ilvl="2">
      <w:start w:val="2"/>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256" w:hanging="1440"/>
      </w:pPr>
      <w:rPr>
        <w:rFonts w:hint="default"/>
      </w:rPr>
    </w:lvl>
  </w:abstractNum>
  <w:abstractNum w:abstractNumId="31">
    <w:nsid w:val="626E65F5"/>
    <w:multiLevelType w:val="multilevel"/>
    <w:tmpl w:val="5386BD0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D70CDF"/>
    <w:multiLevelType w:val="hybridMultilevel"/>
    <w:tmpl w:val="FF76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61093"/>
    <w:multiLevelType w:val="hybridMultilevel"/>
    <w:tmpl w:val="6CD81A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27820"/>
    <w:multiLevelType w:val="multilevel"/>
    <w:tmpl w:val="553AE67A"/>
    <w:lvl w:ilvl="0">
      <w:start w:val="4"/>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2127345"/>
    <w:multiLevelType w:val="multilevel"/>
    <w:tmpl w:val="D8F4B55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BA2446"/>
    <w:multiLevelType w:val="multilevel"/>
    <w:tmpl w:val="8C340C4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4C5318"/>
    <w:multiLevelType w:val="hybridMultilevel"/>
    <w:tmpl w:val="C84228D8"/>
    <w:lvl w:ilvl="0" w:tplc="BC5A7C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515CB"/>
    <w:multiLevelType w:val="hybridMultilevel"/>
    <w:tmpl w:val="DE7CD9B6"/>
    <w:lvl w:ilvl="0" w:tplc="8E98D188">
      <w:start w:val="634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2"/>
  </w:num>
  <w:num w:numId="5">
    <w:abstractNumId w:val="6"/>
  </w:num>
  <w:num w:numId="6">
    <w:abstractNumId w:val="28"/>
  </w:num>
  <w:num w:numId="7">
    <w:abstractNumId w:val="23"/>
  </w:num>
  <w:num w:numId="8">
    <w:abstractNumId w:val="3"/>
  </w:num>
  <w:num w:numId="9">
    <w:abstractNumId w:val="9"/>
  </w:num>
  <w:num w:numId="10">
    <w:abstractNumId w:val="13"/>
  </w:num>
  <w:num w:numId="11">
    <w:abstractNumId w:val="31"/>
  </w:num>
  <w:num w:numId="12">
    <w:abstractNumId w:val="20"/>
  </w:num>
  <w:num w:numId="13">
    <w:abstractNumId w:val="22"/>
  </w:num>
  <w:num w:numId="14">
    <w:abstractNumId w:val="18"/>
  </w:num>
  <w:num w:numId="15">
    <w:abstractNumId w:val="12"/>
  </w:num>
  <w:num w:numId="16">
    <w:abstractNumId w:val="10"/>
  </w:num>
  <w:num w:numId="17">
    <w:abstractNumId w:val="37"/>
  </w:num>
  <w:num w:numId="18">
    <w:abstractNumId w:val="16"/>
  </w:num>
  <w:num w:numId="19">
    <w:abstractNumId w:val="35"/>
  </w:num>
  <w:num w:numId="20">
    <w:abstractNumId w:val="15"/>
  </w:num>
  <w:num w:numId="21">
    <w:abstractNumId w:val="19"/>
  </w:num>
  <w:num w:numId="22">
    <w:abstractNumId w:val="34"/>
  </w:num>
  <w:num w:numId="23">
    <w:abstractNumId w:val="14"/>
  </w:num>
  <w:num w:numId="24">
    <w:abstractNumId w:val="33"/>
  </w:num>
  <w:num w:numId="25">
    <w:abstractNumId w:val="5"/>
  </w:num>
  <w:num w:numId="26">
    <w:abstractNumId w:val="25"/>
  </w:num>
  <w:num w:numId="27">
    <w:abstractNumId w:val="30"/>
  </w:num>
  <w:num w:numId="28">
    <w:abstractNumId w:val="1"/>
  </w:num>
  <w:num w:numId="29">
    <w:abstractNumId w:val="36"/>
  </w:num>
  <w:num w:numId="30">
    <w:abstractNumId w:val="32"/>
  </w:num>
  <w:num w:numId="31">
    <w:abstractNumId w:val="26"/>
  </w:num>
  <w:num w:numId="32">
    <w:abstractNumId w:val="4"/>
  </w:num>
  <w:num w:numId="33">
    <w:abstractNumId w:val="8"/>
  </w:num>
  <w:num w:numId="34">
    <w:abstractNumId w:val="24"/>
  </w:num>
  <w:num w:numId="35">
    <w:abstractNumId w:val="27"/>
  </w:num>
  <w:num w:numId="36">
    <w:abstractNumId w:val="38"/>
  </w:num>
  <w:num w:numId="37">
    <w:abstractNumId w:val="7"/>
  </w:num>
  <w:num w:numId="38">
    <w:abstractNumId w:val="29"/>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otis Repoussis">
    <w15:presenceInfo w15:providerId="Windows Live" w15:userId="4dbdcee79e4050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8D2163"/>
    <w:rsid w:val="00000692"/>
    <w:rsid w:val="00000756"/>
    <w:rsid w:val="000018A8"/>
    <w:rsid w:val="000028AD"/>
    <w:rsid w:val="00002985"/>
    <w:rsid w:val="00002B08"/>
    <w:rsid w:val="000036E0"/>
    <w:rsid w:val="00003B0B"/>
    <w:rsid w:val="00003B73"/>
    <w:rsid w:val="00003BAE"/>
    <w:rsid w:val="0000474E"/>
    <w:rsid w:val="00004914"/>
    <w:rsid w:val="00004B33"/>
    <w:rsid w:val="000053C1"/>
    <w:rsid w:val="000053E9"/>
    <w:rsid w:val="000058EA"/>
    <w:rsid w:val="00005CE0"/>
    <w:rsid w:val="00005F94"/>
    <w:rsid w:val="0000710A"/>
    <w:rsid w:val="000071BA"/>
    <w:rsid w:val="00007711"/>
    <w:rsid w:val="0001018E"/>
    <w:rsid w:val="000105E9"/>
    <w:rsid w:val="0001061C"/>
    <w:rsid w:val="000106FD"/>
    <w:rsid w:val="00010E27"/>
    <w:rsid w:val="00011331"/>
    <w:rsid w:val="00011792"/>
    <w:rsid w:val="00012628"/>
    <w:rsid w:val="000127BD"/>
    <w:rsid w:val="0001354A"/>
    <w:rsid w:val="000153A4"/>
    <w:rsid w:val="000153FA"/>
    <w:rsid w:val="00015583"/>
    <w:rsid w:val="00015A72"/>
    <w:rsid w:val="00015DF8"/>
    <w:rsid w:val="00015F07"/>
    <w:rsid w:val="000174F7"/>
    <w:rsid w:val="0002107C"/>
    <w:rsid w:val="0002114C"/>
    <w:rsid w:val="00021868"/>
    <w:rsid w:val="00021DBD"/>
    <w:rsid w:val="00022275"/>
    <w:rsid w:val="00023C02"/>
    <w:rsid w:val="00023FD1"/>
    <w:rsid w:val="00024C8A"/>
    <w:rsid w:val="00024CD7"/>
    <w:rsid w:val="00025330"/>
    <w:rsid w:val="0002537D"/>
    <w:rsid w:val="00025627"/>
    <w:rsid w:val="00025A42"/>
    <w:rsid w:val="00025BDD"/>
    <w:rsid w:val="000262D1"/>
    <w:rsid w:val="000264CB"/>
    <w:rsid w:val="0002678C"/>
    <w:rsid w:val="00026B49"/>
    <w:rsid w:val="0003051A"/>
    <w:rsid w:val="0003087C"/>
    <w:rsid w:val="00031E5B"/>
    <w:rsid w:val="0003231F"/>
    <w:rsid w:val="000339D4"/>
    <w:rsid w:val="00033D1E"/>
    <w:rsid w:val="000353DA"/>
    <w:rsid w:val="00035C49"/>
    <w:rsid w:val="00035D54"/>
    <w:rsid w:val="00036F92"/>
    <w:rsid w:val="00037ABF"/>
    <w:rsid w:val="00037DFD"/>
    <w:rsid w:val="0004059F"/>
    <w:rsid w:val="000412FE"/>
    <w:rsid w:val="00041C95"/>
    <w:rsid w:val="00041FA0"/>
    <w:rsid w:val="0004262B"/>
    <w:rsid w:val="00042659"/>
    <w:rsid w:val="00042970"/>
    <w:rsid w:val="00042CE8"/>
    <w:rsid w:val="00043942"/>
    <w:rsid w:val="00043C1E"/>
    <w:rsid w:val="00043DAD"/>
    <w:rsid w:val="00044355"/>
    <w:rsid w:val="0004435E"/>
    <w:rsid w:val="000443D4"/>
    <w:rsid w:val="00044883"/>
    <w:rsid w:val="0004508D"/>
    <w:rsid w:val="0004580E"/>
    <w:rsid w:val="00047686"/>
    <w:rsid w:val="000506C1"/>
    <w:rsid w:val="0005136F"/>
    <w:rsid w:val="00051798"/>
    <w:rsid w:val="00051FC5"/>
    <w:rsid w:val="0005205B"/>
    <w:rsid w:val="00052257"/>
    <w:rsid w:val="00052818"/>
    <w:rsid w:val="000531CF"/>
    <w:rsid w:val="00053859"/>
    <w:rsid w:val="00054A32"/>
    <w:rsid w:val="00054F66"/>
    <w:rsid w:val="0005584C"/>
    <w:rsid w:val="000559C0"/>
    <w:rsid w:val="00056E9F"/>
    <w:rsid w:val="000577D2"/>
    <w:rsid w:val="00060492"/>
    <w:rsid w:val="0006102E"/>
    <w:rsid w:val="00061200"/>
    <w:rsid w:val="00061C8C"/>
    <w:rsid w:val="000628E5"/>
    <w:rsid w:val="00063C88"/>
    <w:rsid w:val="00064D91"/>
    <w:rsid w:val="0006578D"/>
    <w:rsid w:val="00065EAF"/>
    <w:rsid w:val="00066BD4"/>
    <w:rsid w:val="00066E0D"/>
    <w:rsid w:val="00066FBF"/>
    <w:rsid w:val="000672B6"/>
    <w:rsid w:val="00067720"/>
    <w:rsid w:val="00067C09"/>
    <w:rsid w:val="00067F4D"/>
    <w:rsid w:val="00067FB3"/>
    <w:rsid w:val="0007099F"/>
    <w:rsid w:val="00072110"/>
    <w:rsid w:val="00073706"/>
    <w:rsid w:val="00074753"/>
    <w:rsid w:val="000750E7"/>
    <w:rsid w:val="000759E2"/>
    <w:rsid w:val="00075DF9"/>
    <w:rsid w:val="0007682A"/>
    <w:rsid w:val="000774A3"/>
    <w:rsid w:val="00077AD0"/>
    <w:rsid w:val="0008109C"/>
    <w:rsid w:val="00081ACD"/>
    <w:rsid w:val="00082080"/>
    <w:rsid w:val="00082C7F"/>
    <w:rsid w:val="00082C8E"/>
    <w:rsid w:val="00082E10"/>
    <w:rsid w:val="00082FA9"/>
    <w:rsid w:val="00083C58"/>
    <w:rsid w:val="00084B1F"/>
    <w:rsid w:val="0008505E"/>
    <w:rsid w:val="00085872"/>
    <w:rsid w:val="00085F06"/>
    <w:rsid w:val="00087E25"/>
    <w:rsid w:val="00087E31"/>
    <w:rsid w:val="00090336"/>
    <w:rsid w:val="00090538"/>
    <w:rsid w:val="0009075E"/>
    <w:rsid w:val="0009097E"/>
    <w:rsid w:val="000918A4"/>
    <w:rsid w:val="000926DE"/>
    <w:rsid w:val="00092746"/>
    <w:rsid w:val="00092C4C"/>
    <w:rsid w:val="00092D08"/>
    <w:rsid w:val="00092E6C"/>
    <w:rsid w:val="0009304A"/>
    <w:rsid w:val="000937D8"/>
    <w:rsid w:val="000944AD"/>
    <w:rsid w:val="0009466F"/>
    <w:rsid w:val="000954C3"/>
    <w:rsid w:val="000957C6"/>
    <w:rsid w:val="00096770"/>
    <w:rsid w:val="00096FA8"/>
    <w:rsid w:val="00097213"/>
    <w:rsid w:val="0009743D"/>
    <w:rsid w:val="000978C7"/>
    <w:rsid w:val="000A25F6"/>
    <w:rsid w:val="000A288A"/>
    <w:rsid w:val="000A2CED"/>
    <w:rsid w:val="000A327E"/>
    <w:rsid w:val="000A32AA"/>
    <w:rsid w:val="000A37BD"/>
    <w:rsid w:val="000A4609"/>
    <w:rsid w:val="000A4ACE"/>
    <w:rsid w:val="000A4DE9"/>
    <w:rsid w:val="000A4DFB"/>
    <w:rsid w:val="000A4E4B"/>
    <w:rsid w:val="000A5219"/>
    <w:rsid w:val="000A5B48"/>
    <w:rsid w:val="000A603A"/>
    <w:rsid w:val="000A66BA"/>
    <w:rsid w:val="000A6805"/>
    <w:rsid w:val="000A6AAA"/>
    <w:rsid w:val="000A76F0"/>
    <w:rsid w:val="000B20CD"/>
    <w:rsid w:val="000B2283"/>
    <w:rsid w:val="000B36EE"/>
    <w:rsid w:val="000B3D11"/>
    <w:rsid w:val="000B4346"/>
    <w:rsid w:val="000B4F2E"/>
    <w:rsid w:val="000B50E3"/>
    <w:rsid w:val="000B6542"/>
    <w:rsid w:val="000B68F7"/>
    <w:rsid w:val="000C0011"/>
    <w:rsid w:val="000C1493"/>
    <w:rsid w:val="000C149E"/>
    <w:rsid w:val="000C20E6"/>
    <w:rsid w:val="000C2172"/>
    <w:rsid w:val="000C2496"/>
    <w:rsid w:val="000C3F38"/>
    <w:rsid w:val="000C3FB9"/>
    <w:rsid w:val="000C4FB1"/>
    <w:rsid w:val="000C6059"/>
    <w:rsid w:val="000C624E"/>
    <w:rsid w:val="000C6C5F"/>
    <w:rsid w:val="000C6E49"/>
    <w:rsid w:val="000C75B2"/>
    <w:rsid w:val="000C78EB"/>
    <w:rsid w:val="000C7CF8"/>
    <w:rsid w:val="000D129E"/>
    <w:rsid w:val="000D28B4"/>
    <w:rsid w:val="000D2E00"/>
    <w:rsid w:val="000D3692"/>
    <w:rsid w:val="000D4A45"/>
    <w:rsid w:val="000D58A1"/>
    <w:rsid w:val="000D60DD"/>
    <w:rsid w:val="000D6417"/>
    <w:rsid w:val="000D6C3D"/>
    <w:rsid w:val="000D7DC8"/>
    <w:rsid w:val="000E03A4"/>
    <w:rsid w:val="000E0504"/>
    <w:rsid w:val="000E0874"/>
    <w:rsid w:val="000E0875"/>
    <w:rsid w:val="000E0BFC"/>
    <w:rsid w:val="000E0DC2"/>
    <w:rsid w:val="000E0DD8"/>
    <w:rsid w:val="000E127A"/>
    <w:rsid w:val="000E1912"/>
    <w:rsid w:val="000E1BD1"/>
    <w:rsid w:val="000E2B7E"/>
    <w:rsid w:val="000E3D32"/>
    <w:rsid w:val="000E4E03"/>
    <w:rsid w:val="000E4E3D"/>
    <w:rsid w:val="000E4E9C"/>
    <w:rsid w:val="000E5668"/>
    <w:rsid w:val="000E593C"/>
    <w:rsid w:val="000E59D5"/>
    <w:rsid w:val="000E5BC6"/>
    <w:rsid w:val="000E620E"/>
    <w:rsid w:val="000E6D0B"/>
    <w:rsid w:val="000E7D45"/>
    <w:rsid w:val="000F01C8"/>
    <w:rsid w:val="000F04A8"/>
    <w:rsid w:val="000F174C"/>
    <w:rsid w:val="000F18ED"/>
    <w:rsid w:val="000F1ED0"/>
    <w:rsid w:val="000F1EEE"/>
    <w:rsid w:val="000F2538"/>
    <w:rsid w:val="000F2AD9"/>
    <w:rsid w:val="000F2F3F"/>
    <w:rsid w:val="000F2F5C"/>
    <w:rsid w:val="000F31EE"/>
    <w:rsid w:val="000F3CF9"/>
    <w:rsid w:val="000F4052"/>
    <w:rsid w:val="000F42D8"/>
    <w:rsid w:val="000F45E4"/>
    <w:rsid w:val="000F5653"/>
    <w:rsid w:val="000F5993"/>
    <w:rsid w:val="000F652D"/>
    <w:rsid w:val="000F690F"/>
    <w:rsid w:val="000F7562"/>
    <w:rsid w:val="000F7AF7"/>
    <w:rsid w:val="000F7F77"/>
    <w:rsid w:val="001000BB"/>
    <w:rsid w:val="001003CD"/>
    <w:rsid w:val="00100A6B"/>
    <w:rsid w:val="00100A79"/>
    <w:rsid w:val="00101769"/>
    <w:rsid w:val="00101A93"/>
    <w:rsid w:val="00101E56"/>
    <w:rsid w:val="00102029"/>
    <w:rsid w:val="0010240C"/>
    <w:rsid w:val="00102761"/>
    <w:rsid w:val="00102CC6"/>
    <w:rsid w:val="00103493"/>
    <w:rsid w:val="00103559"/>
    <w:rsid w:val="00105FC6"/>
    <w:rsid w:val="00106496"/>
    <w:rsid w:val="00106A45"/>
    <w:rsid w:val="00106EB6"/>
    <w:rsid w:val="00106F7C"/>
    <w:rsid w:val="001075C5"/>
    <w:rsid w:val="00107E5D"/>
    <w:rsid w:val="00107E5F"/>
    <w:rsid w:val="00110F10"/>
    <w:rsid w:val="00111796"/>
    <w:rsid w:val="00111BA6"/>
    <w:rsid w:val="001121B9"/>
    <w:rsid w:val="0011286D"/>
    <w:rsid w:val="00113176"/>
    <w:rsid w:val="00113A34"/>
    <w:rsid w:val="00113B0E"/>
    <w:rsid w:val="00113BF9"/>
    <w:rsid w:val="00113D1D"/>
    <w:rsid w:val="0011435E"/>
    <w:rsid w:val="00114F47"/>
    <w:rsid w:val="001150B0"/>
    <w:rsid w:val="00116E30"/>
    <w:rsid w:val="001171B6"/>
    <w:rsid w:val="00117614"/>
    <w:rsid w:val="0011786C"/>
    <w:rsid w:val="0012064D"/>
    <w:rsid w:val="00121130"/>
    <w:rsid w:val="00121D4C"/>
    <w:rsid w:val="00122B8A"/>
    <w:rsid w:val="00123809"/>
    <w:rsid w:val="00124044"/>
    <w:rsid w:val="00124F1C"/>
    <w:rsid w:val="001252E0"/>
    <w:rsid w:val="001258A4"/>
    <w:rsid w:val="0012672E"/>
    <w:rsid w:val="00126CD7"/>
    <w:rsid w:val="001272F9"/>
    <w:rsid w:val="00127522"/>
    <w:rsid w:val="00130212"/>
    <w:rsid w:val="001309A3"/>
    <w:rsid w:val="00130DBB"/>
    <w:rsid w:val="00130DC2"/>
    <w:rsid w:val="00130EB4"/>
    <w:rsid w:val="001324C3"/>
    <w:rsid w:val="001326BC"/>
    <w:rsid w:val="001328DF"/>
    <w:rsid w:val="00132915"/>
    <w:rsid w:val="00132CD7"/>
    <w:rsid w:val="00132CEF"/>
    <w:rsid w:val="001330BA"/>
    <w:rsid w:val="00134199"/>
    <w:rsid w:val="001345AE"/>
    <w:rsid w:val="001347FD"/>
    <w:rsid w:val="00134947"/>
    <w:rsid w:val="00135570"/>
    <w:rsid w:val="00135AE2"/>
    <w:rsid w:val="00136278"/>
    <w:rsid w:val="001362D7"/>
    <w:rsid w:val="00136CCA"/>
    <w:rsid w:val="00137D4C"/>
    <w:rsid w:val="00137E5A"/>
    <w:rsid w:val="00137F0A"/>
    <w:rsid w:val="00140802"/>
    <w:rsid w:val="0014080B"/>
    <w:rsid w:val="00140CB5"/>
    <w:rsid w:val="00141413"/>
    <w:rsid w:val="00141468"/>
    <w:rsid w:val="001419FD"/>
    <w:rsid w:val="00141AE0"/>
    <w:rsid w:val="00142B78"/>
    <w:rsid w:val="00143DED"/>
    <w:rsid w:val="0014415E"/>
    <w:rsid w:val="00144895"/>
    <w:rsid w:val="0014609B"/>
    <w:rsid w:val="00146D35"/>
    <w:rsid w:val="00147D52"/>
    <w:rsid w:val="00147F5A"/>
    <w:rsid w:val="00151793"/>
    <w:rsid w:val="00151943"/>
    <w:rsid w:val="00152040"/>
    <w:rsid w:val="0015233B"/>
    <w:rsid w:val="00152A0A"/>
    <w:rsid w:val="001530F4"/>
    <w:rsid w:val="00154CFF"/>
    <w:rsid w:val="001551CD"/>
    <w:rsid w:val="001553E1"/>
    <w:rsid w:val="001558C5"/>
    <w:rsid w:val="00156F7D"/>
    <w:rsid w:val="00161330"/>
    <w:rsid w:val="0016286D"/>
    <w:rsid w:val="00162A36"/>
    <w:rsid w:val="0016446C"/>
    <w:rsid w:val="0016482F"/>
    <w:rsid w:val="00165E0F"/>
    <w:rsid w:val="00165E4D"/>
    <w:rsid w:val="0016624D"/>
    <w:rsid w:val="001665F1"/>
    <w:rsid w:val="00166C90"/>
    <w:rsid w:val="00167006"/>
    <w:rsid w:val="00167A7C"/>
    <w:rsid w:val="0017213E"/>
    <w:rsid w:val="0017390F"/>
    <w:rsid w:val="00173ED8"/>
    <w:rsid w:val="001745CB"/>
    <w:rsid w:val="00175695"/>
    <w:rsid w:val="0017603D"/>
    <w:rsid w:val="00176B63"/>
    <w:rsid w:val="00177576"/>
    <w:rsid w:val="001808D7"/>
    <w:rsid w:val="001816EE"/>
    <w:rsid w:val="001816EF"/>
    <w:rsid w:val="00181BB6"/>
    <w:rsid w:val="00182180"/>
    <w:rsid w:val="00182F5A"/>
    <w:rsid w:val="00182FFE"/>
    <w:rsid w:val="00183982"/>
    <w:rsid w:val="00183C68"/>
    <w:rsid w:val="00183E65"/>
    <w:rsid w:val="001846CC"/>
    <w:rsid w:val="001849B3"/>
    <w:rsid w:val="001859C4"/>
    <w:rsid w:val="001862F7"/>
    <w:rsid w:val="001867CD"/>
    <w:rsid w:val="0018683E"/>
    <w:rsid w:val="001874F2"/>
    <w:rsid w:val="001877B5"/>
    <w:rsid w:val="00190A76"/>
    <w:rsid w:val="00190F62"/>
    <w:rsid w:val="00191607"/>
    <w:rsid w:val="00192B80"/>
    <w:rsid w:val="001930DB"/>
    <w:rsid w:val="00193508"/>
    <w:rsid w:val="00193F98"/>
    <w:rsid w:val="00194580"/>
    <w:rsid w:val="0019573B"/>
    <w:rsid w:val="001959E7"/>
    <w:rsid w:val="0019619C"/>
    <w:rsid w:val="0019679D"/>
    <w:rsid w:val="00196E52"/>
    <w:rsid w:val="00197742"/>
    <w:rsid w:val="001A0809"/>
    <w:rsid w:val="001A0CF0"/>
    <w:rsid w:val="001A3536"/>
    <w:rsid w:val="001A366A"/>
    <w:rsid w:val="001A3766"/>
    <w:rsid w:val="001A385B"/>
    <w:rsid w:val="001A3D6C"/>
    <w:rsid w:val="001A410E"/>
    <w:rsid w:val="001A4A7B"/>
    <w:rsid w:val="001A5048"/>
    <w:rsid w:val="001A5CFB"/>
    <w:rsid w:val="001A6842"/>
    <w:rsid w:val="001A72E2"/>
    <w:rsid w:val="001A736A"/>
    <w:rsid w:val="001B17F9"/>
    <w:rsid w:val="001B1B97"/>
    <w:rsid w:val="001B1DF7"/>
    <w:rsid w:val="001B234B"/>
    <w:rsid w:val="001B2427"/>
    <w:rsid w:val="001B335F"/>
    <w:rsid w:val="001B35DD"/>
    <w:rsid w:val="001B3F40"/>
    <w:rsid w:val="001B4096"/>
    <w:rsid w:val="001B543B"/>
    <w:rsid w:val="001B5515"/>
    <w:rsid w:val="001B63DB"/>
    <w:rsid w:val="001B6733"/>
    <w:rsid w:val="001B6801"/>
    <w:rsid w:val="001B6D4E"/>
    <w:rsid w:val="001B6E82"/>
    <w:rsid w:val="001B7520"/>
    <w:rsid w:val="001B7BCB"/>
    <w:rsid w:val="001B7C00"/>
    <w:rsid w:val="001C0A28"/>
    <w:rsid w:val="001C0C3F"/>
    <w:rsid w:val="001C1888"/>
    <w:rsid w:val="001C1997"/>
    <w:rsid w:val="001C2574"/>
    <w:rsid w:val="001C32F4"/>
    <w:rsid w:val="001C3C99"/>
    <w:rsid w:val="001C40EE"/>
    <w:rsid w:val="001C41B8"/>
    <w:rsid w:val="001C4DB9"/>
    <w:rsid w:val="001C4FE0"/>
    <w:rsid w:val="001C50FA"/>
    <w:rsid w:val="001C5A47"/>
    <w:rsid w:val="001C6C21"/>
    <w:rsid w:val="001C6C84"/>
    <w:rsid w:val="001C6CCC"/>
    <w:rsid w:val="001C7420"/>
    <w:rsid w:val="001D02D7"/>
    <w:rsid w:val="001D093C"/>
    <w:rsid w:val="001D0D91"/>
    <w:rsid w:val="001D1F9F"/>
    <w:rsid w:val="001D2289"/>
    <w:rsid w:val="001D243C"/>
    <w:rsid w:val="001D2474"/>
    <w:rsid w:val="001D2715"/>
    <w:rsid w:val="001D363F"/>
    <w:rsid w:val="001D3B82"/>
    <w:rsid w:val="001D3C11"/>
    <w:rsid w:val="001D3E48"/>
    <w:rsid w:val="001D5031"/>
    <w:rsid w:val="001D5236"/>
    <w:rsid w:val="001D54B7"/>
    <w:rsid w:val="001D572F"/>
    <w:rsid w:val="001D5F91"/>
    <w:rsid w:val="001D7102"/>
    <w:rsid w:val="001D749C"/>
    <w:rsid w:val="001D7DA7"/>
    <w:rsid w:val="001D7EC4"/>
    <w:rsid w:val="001E09C6"/>
    <w:rsid w:val="001E0D54"/>
    <w:rsid w:val="001E0D73"/>
    <w:rsid w:val="001E10F7"/>
    <w:rsid w:val="001E15B8"/>
    <w:rsid w:val="001E190E"/>
    <w:rsid w:val="001E25DA"/>
    <w:rsid w:val="001E29F8"/>
    <w:rsid w:val="001E2C3B"/>
    <w:rsid w:val="001E300A"/>
    <w:rsid w:val="001E3416"/>
    <w:rsid w:val="001E37BA"/>
    <w:rsid w:val="001E471F"/>
    <w:rsid w:val="001E4A1B"/>
    <w:rsid w:val="001E53C5"/>
    <w:rsid w:val="001E5590"/>
    <w:rsid w:val="001E57A3"/>
    <w:rsid w:val="001E7274"/>
    <w:rsid w:val="001E77B3"/>
    <w:rsid w:val="001E7D7C"/>
    <w:rsid w:val="001F0945"/>
    <w:rsid w:val="001F1612"/>
    <w:rsid w:val="001F1F46"/>
    <w:rsid w:val="001F2185"/>
    <w:rsid w:val="001F2511"/>
    <w:rsid w:val="001F2CC4"/>
    <w:rsid w:val="001F2F8F"/>
    <w:rsid w:val="001F3BFD"/>
    <w:rsid w:val="001F431C"/>
    <w:rsid w:val="001F4486"/>
    <w:rsid w:val="001F620E"/>
    <w:rsid w:val="001F70C3"/>
    <w:rsid w:val="001F747E"/>
    <w:rsid w:val="001F75DF"/>
    <w:rsid w:val="00200A99"/>
    <w:rsid w:val="00201387"/>
    <w:rsid w:val="00201637"/>
    <w:rsid w:val="0020185C"/>
    <w:rsid w:val="00201E96"/>
    <w:rsid w:val="002040DC"/>
    <w:rsid w:val="00204D38"/>
    <w:rsid w:val="00204D83"/>
    <w:rsid w:val="00205272"/>
    <w:rsid w:val="00205A73"/>
    <w:rsid w:val="0020615C"/>
    <w:rsid w:val="002064CC"/>
    <w:rsid w:val="00206C3C"/>
    <w:rsid w:val="00206E7F"/>
    <w:rsid w:val="00207236"/>
    <w:rsid w:val="00210395"/>
    <w:rsid w:val="00210FDB"/>
    <w:rsid w:val="00211213"/>
    <w:rsid w:val="00212330"/>
    <w:rsid w:val="00212B2F"/>
    <w:rsid w:val="00213A59"/>
    <w:rsid w:val="00213E2A"/>
    <w:rsid w:val="00214EEB"/>
    <w:rsid w:val="00215B6D"/>
    <w:rsid w:val="002161E7"/>
    <w:rsid w:val="002167E9"/>
    <w:rsid w:val="00216BA0"/>
    <w:rsid w:val="00216E05"/>
    <w:rsid w:val="002171D8"/>
    <w:rsid w:val="00221E41"/>
    <w:rsid w:val="00222413"/>
    <w:rsid w:val="00222A65"/>
    <w:rsid w:val="00222E88"/>
    <w:rsid w:val="00223234"/>
    <w:rsid w:val="002232F3"/>
    <w:rsid w:val="00223526"/>
    <w:rsid w:val="002257C4"/>
    <w:rsid w:val="00225EED"/>
    <w:rsid w:val="002268C3"/>
    <w:rsid w:val="0022739B"/>
    <w:rsid w:val="00227C04"/>
    <w:rsid w:val="0023025D"/>
    <w:rsid w:val="0023044B"/>
    <w:rsid w:val="00230467"/>
    <w:rsid w:val="002304A0"/>
    <w:rsid w:val="00230714"/>
    <w:rsid w:val="00230ACB"/>
    <w:rsid w:val="00231A4A"/>
    <w:rsid w:val="00231EEF"/>
    <w:rsid w:val="00231F2B"/>
    <w:rsid w:val="002322F7"/>
    <w:rsid w:val="002325CE"/>
    <w:rsid w:val="00233815"/>
    <w:rsid w:val="00233D9E"/>
    <w:rsid w:val="0023446D"/>
    <w:rsid w:val="0023551A"/>
    <w:rsid w:val="00236F9C"/>
    <w:rsid w:val="00237518"/>
    <w:rsid w:val="0023765A"/>
    <w:rsid w:val="002377B7"/>
    <w:rsid w:val="002379AC"/>
    <w:rsid w:val="00240886"/>
    <w:rsid w:val="00240CE3"/>
    <w:rsid w:val="00241C3A"/>
    <w:rsid w:val="0024263C"/>
    <w:rsid w:val="00244207"/>
    <w:rsid w:val="002448A2"/>
    <w:rsid w:val="00245021"/>
    <w:rsid w:val="002450E0"/>
    <w:rsid w:val="0024653B"/>
    <w:rsid w:val="00246885"/>
    <w:rsid w:val="00247A36"/>
    <w:rsid w:val="00250C0C"/>
    <w:rsid w:val="0025156F"/>
    <w:rsid w:val="00251A9E"/>
    <w:rsid w:val="00251AA0"/>
    <w:rsid w:val="002520E5"/>
    <w:rsid w:val="002535F6"/>
    <w:rsid w:val="00253D16"/>
    <w:rsid w:val="002542C5"/>
    <w:rsid w:val="00255C35"/>
    <w:rsid w:val="00256D7D"/>
    <w:rsid w:val="00257187"/>
    <w:rsid w:val="00257419"/>
    <w:rsid w:val="00257633"/>
    <w:rsid w:val="0026177B"/>
    <w:rsid w:val="002617B7"/>
    <w:rsid w:val="00261CC4"/>
    <w:rsid w:val="00262375"/>
    <w:rsid w:val="002631D9"/>
    <w:rsid w:val="002634C0"/>
    <w:rsid w:val="00263699"/>
    <w:rsid w:val="002639EE"/>
    <w:rsid w:val="00263DA5"/>
    <w:rsid w:val="002642FC"/>
    <w:rsid w:val="0026447F"/>
    <w:rsid w:val="00264A30"/>
    <w:rsid w:val="00264D10"/>
    <w:rsid w:val="00265BA9"/>
    <w:rsid w:val="00265EF6"/>
    <w:rsid w:val="00266114"/>
    <w:rsid w:val="00267256"/>
    <w:rsid w:val="00267D68"/>
    <w:rsid w:val="00270155"/>
    <w:rsid w:val="00271FC4"/>
    <w:rsid w:val="00272E8F"/>
    <w:rsid w:val="00272FC0"/>
    <w:rsid w:val="0027307A"/>
    <w:rsid w:val="0027367A"/>
    <w:rsid w:val="00274290"/>
    <w:rsid w:val="00274329"/>
    <w:rsid w:val="002745F8"/>
    <w:rsid w:val="00275ADB"/>
    <w:rsid w:val="00275E41"/>
    <w:rsid w:val="002761A1"/>
    <w:rsid w:val="00276362"/>
    <w:rsid w:val="00276AF1"/>
    <w:rsid w:val="00277950"/>
    <w:rsid w:val="00280643"/>
    <w:rsid w:val="0028218B"/>
    <w:rsid w:val="00282297"/>
    <w:rsid w:val="00282FB4"/>
    <w:rsid w:val="0028339C"/>
    <w:rsid w:val="00283487"/>
    <w:rsid w:val="002839AE"/>
    <w:rsid w:val="00283B8C"/>
    <w:rsid w:val="00285137"/>
    <w:rsid w:val="00285BFF"/>
    <w:rsid w:val="00285C38"/>
    <w:rsid w:val="00285EE4"/>
    <w:rsid w:val="00286EB6"/>
    <w:rsid w:val="00287652"/>
    <w:rsid w:val="00290C30"/>
    <w:rsid w:val="002934C1"/>
    <w:rsid w:val="0029378B"/>
    <w:rsid w:val="00293C84"/>
    <w:rsid w:val="00293E67"/>
    <w:rsid w:val="002948C4"/>
    <w:rsid w:val="002951BD"/>
    <w:rsid w:val="00295543"/>
    <w:rsid w:val="002960D9"/>
    <w:rsid w:val="002960E8"/>
    <w:rsid w:val="0029751A"/>
    <w:rsid w:val="002A0427"/>
    <w:rsid w:val="002A07AB"/>
    <w:rsid w:val="002A0AA2"/>
    <w:rsid w:val="002A0B7A"/>
    <w:rsid w:val="002A0E0C"/>
    <w:rsid w:val="002A0E25"/>
    <w:rsid w:val="002A154E"/>
    <w:rsid w:val="002A2CDE"/>
    <w:rsid w:val="002A2F1A"/>
    <w:rsid w:val="002A3453"/>
    <w:rsid w:val="002A3D42"/>
    <w:rsid w:val="002A436B"/>
    <w:rsid w:val="002A4CA4"/>
    <w:rsid w:val="002A4DC8"/>
    <w:rsid w:val="002A5683"/>
    <w:rsid w:val="002A6DAA"/>
    <w:rsid w:val="002B0BBD"/>
    <w:rsid w:val="002B0FAD"/>
    <w:rsid w:val="002B17AA"/>
    <w:rsid w:val="002B1D2A"/>
    <w:rsid w:val="002B22A3"/>
    <w:rsid w:val="002B296D"/>
    <w:rsid w:val="002B2D56"/>
    <w:rsid w:val="002B2F01"/>
    <w:rsid w:val="002B3299"/>
    <w:rsid w:val="002B3869"/>
    <w:rsid w:val="002B3B97"/>
    <w:rsid w:val="002B41D6"/>
    <w:rsid w:val="002B4C08"/>
    <w:rsid w:val="002B51EB"/>
    <w:rsid w:val="002B5829"/>
    <w:rsid w:val="002B5C76"/>
    <w:rsid w:val="002B649C"/>
    <w:rsid w:val="002C0D7B"/>
    <w:rsid w:val="002C1814"/>
    <w:rsid w:val="002C1AA6"/>
    <w:rsid w:val="002C1E4F"/>
    <w:rsid w:val="002C1F85"/>
    <w:rsid w:val="002C2A1F"/>
    <w:rsid w:val="002C30FA"/>
    <w:rsid w:val="002C36F4"/>
    <w:rsid w:val="002C3F2F"/>
    <w:rsid w:val="002C4361"/>
    <w:rsid w:val="002C46B1"/>
    <w:rsid w:val="002C4739"/>
    <w:rsid w:val="002C4C85"/>
    <w:rsid w:val="002C4DF4"/>
    <w:rsid w:val="002C53D6"/>
    <w:rsid w:val="002C7BD7"/>
    <w:rsid w:val="002C7F50"/>
    <w:rsid w:val="002D0156"/>
    <w:rsid w:val="002D09C4"/>
    <w:rsid w:val="002D0ADB"/>
    <w:rsid w:val="002D213C"/>
    <w:rsid w:val="002D2AFB"/>
    <w:rsid w:val="002D3236"/>
    <w:rsid w:val="002D3292"/>
    <w:rsid w:val="002D3DCB"/>
    <w:rsid w:val="002D5486"/>
    <w:rsid w:val="002D5F75"/>
    <w:rsid w:val="002D6C91"/>
    <w:rsid w:val="002D714C"/>
    <w:rsid w:val="002D7712"/>
    <w:rsid w:val="002D78B6"/>
    <w:rsid w:val="002D7A0A"/>
    <w:rsid w:val="002D7E28"/>
    <w:rsid w:val="002E04FD"/>
    <w:rsid w:val="002E117B"/>
    <w:rsid w:val="002E1386"/>
    <w:rsid w:val="002E1B0A"/>
    <w:rsid w:val="002E403B"/>
    <w:rsid w:val="002E4561"/>
    <w:rsid w:val="002E58C7"/>
    <w:rsid w:val="002E6C6C"/>
    <w:rsid w:val="002E6F00"/>
    <w:rsid w:val="002E7316"/>
    <w:rsid w:val="002E7C86"/>
    <w:rsid w:val="002E7E10"/>
    <w:rsid w:val="002F0235"/>
    <w:rsid w:val="002F04DB"/>
    <w:rsid w:val="002F0E62"/>
    <w:rsid w:val="002F3CBF"/>
    <w:rsid w:val="002F4BCC"/>
    <w:rsid w:val="002F4EC1"/>
    <w:rsid w:val="002F5B0C"/>
    <w:rsid w:val="002F5FEA"/>
    <w:rsid w:val="002F7B08"/>
    <w:rsid w:val="00301C23"/>
    <w:rsid w:val="0030336E"/>
    <w:rsid w:val="003035B3"/>
    <w:rsid w:val="00303873"/>
    <w:rsid w:val="00303D72"/>
    <w:rsid w:val="00303E3B"/>
    <w:rsid w:val="00303F6A"/>
    <w:rsid w:val="003044DA"/>
    <w:rsid w:val="0030480C"/>
    <w:rsid w:val="003050E1"/>
    <w:rsid w:val="0030572A"/>
    <w:rsid w:val="0030603E"/>
    <w:rsid w:val="003074BA"/>
    <w:rsid w:val="00310FF4"/>
    <w:rsid w:val="00311062"/>
    <w:rsid w:val="00311B5B"/>
    <w:rsid w:val="00312489"/>
    <w:rsid w:val="0031284C"/>
    <w:rsid w:val="00312F8C"/>
    <w:rsid w:val="00313883"/>
    <w:rsid w:val="003140F9"/>
    <w:rsid w:val="003157E7"/>
    <w:rsid w:val="0031593D"/>
    <w:rsid w:val="00315C05"/>
    <w:rsid w:val="003161E7"/>
    <w:rsid w:val="003164F6"/>
    <w:rsid w:val="00317361"/>
    <w:rsid w:val="00317807"/>
    <w:rsid w:val="00317EE5"/>
    <w:rsid w:val="00320BCB"/>
    <w:rsid w:val="00321233"/>
    <w:rsid w:val="0032241D"/>
    <w:rsid w:val="003244D4"/>
    <w:rsid w:val="00324B6B"/>
    <w:rsid w:val="00325132"/>
    <w:rsid w:val="00325DE6"/>
    <w:rsid w:val="003264B4"/>
    <w:rsid w:val="0032666A"/>
    <w:rsid w:val="0032704D"/>
    <w:rsid w:val="00327062"/>
    <w:rsid w:val="00327881"/>
    <w:rsid w:val="00327D6F"/>
    <w:rsid w:val="00330375"/>
    <w:rsid w:val="00330413"/>
    <w:rsid w:val="003312FA"/>
    <w:rsid w:val="0033178E"/>
    <w:rsid w:val="003320E6"/>
    <w:rsid w:val="003331A8"/>
    <w:rsid w:val="0033326C"/>
    <w:rsid w:val="0033337A"/>
    <w:rsid w:val="00333446"/>
    <w:rsid w:val="00334340"/>
    <w:rsid w:val="00334BFD"/>
    <w:rsid w:val="00335AA1"/>
    <w:rsid w:val="0033744A"/>
    <w:rsid w:val="00337C07"/>
    <w:rsid w:val="00340E0A"/>
    <w:rsid w:val="00341916"/>
    <w:rsid w:val="00342859"/>
    <w:rsid w:val="003437FB"/>
    <w:rsid w:val="00343891"/>
    <w:rsid w:val="003439C3"/>
    <w:rsid w:val="00343A7F"/>
    <w:rsid w:val="00343F60"/>
    <w:rsid w:val="0034419B"/>
    <w:rsid w:val="0034434A"/>
    <w:rsid w:val="00344DE7"/>
    <w:rsid w:val="00345836"/>
    <w:rsid w:val="003460FA"/>
    <w:rsid w:val="00346136"/>
    <w:rsid w:val="00347D5F"/>
    <w:rsid w:val="0035090D"/>
    <w:rsid w:val="00350BBA"/>
    <w:rsid w:val="00351071"/>
    <w:rsid w:val="00351079"/>
    <w:rsid w:val="00351D7A"/>
    <w:rsid w:val="00351E97"/>
    <w:rsid w:val="0035210E"/>
    <w:rsid w:val="003523ED"/>
    <w:rsid w:val="00352653"/>
    <w:rsid w:val="00352E09"/>
    <w:rsid w:val="0035326B"/>
    <w:rsid w:val="00353705"/>
    <w:rsid w:val="003540B9"/>
    <w:rsid w:val="003547AC"/>
    <w:rsid w:val="00355C0F"/>
    <w:rsid w:val="00356AB6"/>
    <w:rsid w:val="00356D24"/>
    <w:rsid w:val="00356F3A"/>
    <w:rsid w:val="003608B2"/>
    <w:rsid w:val="00361FA8"/>
    <w:rsid w:val="0036213F"/>
    <w:rsid w:val="003624AC"/>
    <w:rsid w:val="00362516"/>
    <w:rsid w:val="00362834"/>
    <w:rsid w:val="00362E87"/>
    <w:rsid w:val="00363B32"/>
    <w:rsid w:val="003658B9"/>
    <w:rsid w:val="0036652B"/>
    <w:rsid w:val="003666EA"/>
    <w:rsid w:val="003668F3"/>
    <w:rsid w:val="00366D65"/>
    <w:rsid w:val="00366F1A"/>
    <w:rsid w:val="00367722"/>
    <w:rsid w:val="003706A8"/>
    <w:rsid w:val="00370C9E"/>
    <w:rsid w:val="00371656"/>
    <w:rsid w:val="00371C5C"/>
    <w:rsid w:val="00371F8E"/>
    <w:rsid w:val="003722AA"/>
    <w:rsid w:val="00372872"/>
    <w:rsid w:val="00372DC1"/>
    <w:rsid w:val="00372EDD"/>
    <w:rsid w:val="003732DC"/>
    <w:rsid w:val="0037390D"/>
    <w:rsid w:val="00373FC4"/>
    <w:rsid w:val="00374C08"/>
    <w:rsid w:val="00374E4C"/>
    <w:rsid w:val="003756F7"/>
    <w:rsid w:val="00375744"/>
    <w:rsid w:val="00375C71"/>
    <w:rsid w:val="003760F9"/>
    <w:rsid w:val="0037637A"/>
    <w:rsid w:val="00376E5B"/>
    <w:rsid w:val="0037725C"/>
    <w:rsid w:val="00377389"/>
    <w:rsid w:val="00377920"/>
    <w:rsid w:val="00377A07"/>
    <w:rsid w:val="00381610"/>
    <w:rsid w:val="0038235E"/>
    <w:rsid w:val="00382470"/>
    <w:rsid w:val="00382C56"/>
    <w:rsid w:val="003831A4"/>
    <w:rsid w:val="0038412C"/>
    <w:rsid w:val="003841B7"/>
    <w:rsid w:val="00384E1A"/>
    <w:rsid w:val="00385956"/>
    <w:rsid w:val="00385F97"/>
    <w:rsid w:val="0038619B"/>
    <w:rsid w:val="003866A3"/>
    <w:rsid w:val="00386BE7"/>
    <w:rsid w:val="00386C1B"/>
    <w:rsid w:val="00386CD6"/>
    <w:rsid w:val="00387A1B"/>
    <w:rsid w:val="0039016E"/>
    <w:rsid w:val="003909E4"/>
    <w:rsid w:val="00391101"/>
    <w:rsid w:val="00392B10"/>
    <w:rsid w:val="0039334F"/>
    <w:rsid w:val="003936A4"/>
    <w:rsid w:val="00393FAD"/>
    <w:rsid w:val="00394343"/>
    <w:rsid w:val="00395993"/>
    <w:rsid w:val="00395AF1"/>
    <w:rsid w:val="00395B97"/>
    <w:rsid w:val="00395CBD"/>
    <w:rsid w:val="00396400"/>
    <w:rsid w:val="003970A4"/>
    <w:rsid w:val="0039770A"/>
    <w:rsid w:val="003A0B4A"/>
    <w:rsid w:val="003A11D9"/>
    <w:rsid w:val="003A1B0A"/>
    <w:rsid w:val="003A1B46"/>
    <w:rsid w:val="003A2A91"/>
    <w:rsid w:val="003A3E24"/>
    <w:rsid w:val="003A44B6"/>
    <w:rsid w:val="003A4798"/>
    <w:rsid w:val="003A4875"/>
    <w:rsid w:val="003A525E"/>
    <w:rsid w:val="003A5523"/>
    <w:rsid w:val="003A5716"/>
    <w:rsid w:val="003A62B3"/>
    <w:rsid w:val="003A6947"/>
    <w:rsid w:val="003A6A07"/>
    <w:rsid w:val="003A6CE0"/>
    <w:rsid w:val="003A6FF2"/>
    <w:rsid w:val="003A702A"/>
    <w:rsid w:val="003A7172"/>
    <w:rsid w:val="003B0420"/>
    <w:rsid w:val="003B0937"/>
    <w:rsid w:val="003B1843"/>
    <w:rsid w:val="003B1911"/>
    <w:rsid w:val="003B2E7B"/>
    <w:rsid w:val="003B38DA"/>
    <w:rsid w:val="003B5782"/>
    <w:rsid w:val="003B5B15"/>
    <w:rsid w:val="003B6DF1"/>
    <w:rsid w:val="003B7647"/>
    <w:rsid w:val="003B7B33"/>
    <w:rsid w:val="003C1A63"/>
    <w:rsid w:val="003C2005"/>
    <w:rsid w:val="003C2820"/>
    <w:rsid w:val="003C2C08"/>
    <w:rsid w:val="003C5473"/>
    <w:rsid w:val="003C592D"/>
    <w:rsid w:val="003C6125"/>
    <w:rsid w:val="003C6FE3"/>
    <w:rsid w:val="003D008F"/>
    <w:rsid w:val="003D0546"/>
    <w:rsid w:val="003D06FD"/>
    <w:rsid w:val="003D07CB"/>
    <w:rsid w:val="003D19D6"/>
    <w:rsid w:val="003D1B5D"/>
    <w:rsid w:val="003D1C65"/>
    <w:rsid w:val="003D1F2B"/>
    <w:rsid w:val="003D1F56"/>
    <w:rsid w:val="003D2F3E"/>
    <w:rsid w:val="003D41FF"/>
    <w:rsid w:val="003D43BE"/>
    <w:rsid w:val="003D4B47"/>
    <w:rsid w:val="003D5948"/>
    <w:rsid w:val="003D5AD3"/>
    <w:rsid w:val="003D5E5A"/>
    <w:rsid w:val="003D714E"/>
    <w:rsid w:val="003E0F0B"/>
    <w:rsid w:val="003E0FF8"/>
    <w:rsid w:val="003E162C"/>
    <w:rsid w:val="003E17D7"/>
    <w:rsid w:val="003E17DF"/>
    <w:rsid w:val="003E1B3D"/>
    <w:rsid w:val="003E2670"/>
    <w:rsid w:val="003E2689"/>
    <w:rsid w:val="003E2CB7"/>
    <w:rsid w:val="003E2EB4"/>
    <w:rsid w:val="003E2EE4"/>
    <w:rsid w:val="003E47AA"/>
    <w:rsid w:val="003E4DFA"/>
    <w:rsid w:val="003E506E"/>
    <w:rsid w:val="003E5253"/>
    <w:rsid w:val="003E5A88"/>
    <w:rsid w:val="003E62CC"/>
    <w:rsid w:val="003E6342"/>
    <w:rsid w:val="003E637B"/>
    <w:rsid w:val="003E6613"/>
    <w:rsid w:val="003E7225"/>
    <w:rsid w:val="003E77F6"/>
    <w:rsid w:val="003F1459"/>
    <w:rsid w:val="003F2893"/>
    <w:rsid w:val="003F2E6C"/>
    <w:rsid w:val="003F3150"/>
    <w:rsid w:val="003F3DD1"/>
    <w:rsid w:val="003F3EA0"/>
    <w:rsid w:val="003F5C51"/>
    <w:rsid w:val="003F63E6"/>
    <w:rsid w:val="003F6E80"/>
    <w:rsid w:val="003F7198"/>
    <w:rsid w:val="003F7C30"/>
    <w:rsid w:val="00400F03"/>
    <w:rsid w:val="0040301D"/>
    <w:rsid w:val="00404326"/>
    <w:rsid w:val="004063C5"/>
    <w:rsid w:val="00406529"/>
    <w:rsid w:val="004078F0"/>
    <w:rsid w:val="00407A22"/>
    <w:rsid w:val="00407A67"/>
    <w:rsid w:val="00410470"/>
    <w:rsid w:val="004104CC"/>
    <w:rsid w:val="00410F37"/>
    <w:rsid w:val="004118BB"/>
    <w:rsid w:val="00412827"/>
    <w:rsid w:val="004129FF"/>
    <w:rsid w:val="00413456"/>
    <w:rsid w:val="00413A85"/>
    <w:rsid w:val="00413D9D"/>
    <w:rsid w:val="0041401C"/>
    <w:rsid w:val="004147EB"/>
    <w:rsid w:val="004149B4"/>
    <w:rsid w:val="00415119"/>
    <w:rsid w:val="004151BB"/>
    <w:rsid w:val="004154C7"/>
    <w:rsid w:val="0041598F"/>
    <w:rsid w:val="00415A72"/>
    <w:rsid w:val="0041639E"/>
    <w:rsid w:val="004166D0"/>
    <w:rsid w:val="00416EC4"/>
    <w:rsid w:val="00417249"/>
    <w:rsid w:val="00417B23"/>
    <w:rsid w:val="00417D88"/>
    <w:rsid w:val="00420D8C"/>
    <w:rsid w:val="0042132D"/>
    <w:rsid w:val="00421432"/>
    <w:rsid w:val="00422432"/>
    <w:rsid w:val="00422C19"/>
    <w:rsid w:val="00422F71"/>
    <w:rsid w:val="004236FF"/>
    <w:rsid w:val="00424C3C"/>
    <w:rsid w:val="00424FA2"/>
    <w:rsid w:val="004252A0"/>
    <w:rsid w:val="00425BB0"/>
    <w:rsid w:val="0042607F"/>
    <w:rsid w:val="004264C1"/>
    <w:rsid w:val="00426B3B"/>
    <w:rsid w:val="00427F36"/>
    <w:rsid w:val="004302C1"/>
    <w:rsid w:val="00430687"/>
    <w:rsid w:val="004308FF"/>
    <w:rsid w:val="004309D5"/>
    <w:rsid w:val="0043108B"/>
    <w:rsid w:val="004317D9"/>
    <w:rsid w:val="00433E58"/>
    <w:rsid w:val="00434446"/>
    <w:rsid w:val="00434E1E"/>
    <w:rsid w:val="00435058"/>
    <w:rsid w:val="00435429"/>
    <w:rsid w:val="00436430"/>
    <w:rsid w:val="00436911"/>
    <w:rsid w:val="00436C99"/>
    <w:rsid w:val="004379BB"/>
    <w:rsid w:val="004401D1"/>
    <w:rsid w:val="00440FA3"/>
    <w:rsid w:val="0044151C"/>
    <w:rsid w:val="00441FBA"/>
    <w:rsid w:val="004422B0"/>
    <w:rsid w:val="004422DD"/>
    <w:rsid w:val="00443C02"/>
    <w:rsid w:val="00443E10"/>
    <w:rsid w:val="00443FB7"/>
    <w:rsid w:val="004441D9"/>
    <w:rsid w:val="00444418"/>
    <w:rsid w:val="0044460D"/>
    <w:rsid w:val="0044504B"/>
    <w:rsid w:val="00446289"/>
    <w:rsid w:val="00446DA0"/>
    <w:rsid w:val="00447349"/>
    <w:rsid w:val="00450327"/>
    <w:rsid w:val="00450C09"/>
    <w:rsid w:val="00450CAB"/>
    <w:rsid w:val="004512B7"/>
    <w:rsid w:val="00451586"/>
    <w:rsid w:val="00452246"/>
    <w:rsid w:val="00452BE3"/>
    <w:rsid w:val="00452CA2"/>
    <w:rsid w:val="00453A8C"/>
    <w:rsid w:val="0045449B"/>
    <w:rsid w:val="004547F5"/>
    <w:rsid w:val="00454E07"/>
    <w:rsid w:val="00454EAA"/>
    <w:rsid w:val="0045570F"/>
    <w:rsid w:val="00455AB6"/>
    <w:rsid w:val="00455E09"/>
    <w:rsid w:val="00455F05"/>
    <w:rsid w:val="00456496"/>
    <w:rsid w:val="004603DB"/>
    <w:rsid w:val="00461EA2"/>
    <w:rsid w:val="00461F82"/>
    <w:rsid w:val="00463370"/>
    <w:rsid w:val="00464014"/>
    <w:rsid w:val="00464840"/>
    <w:rsid w:val="00465096"/>
    <w:rsid w:val="004651AD"/>
    <w:rsid w:val="00465BF4"/>
    <w:rsid w:val="004661E3"/>
    <w:rsid w:val="0046629D"/>
    <w:rsid w:val="00466515"/>
    <w:rsid w:val="004672FB"/>
    <w:rsid w:val="00467580"/>
    <w:rsid w:val="004701E4"/>
    <w:rsid w:val="004704FD"/>
    <w:rsid w:val="00470F39"/>
    <w:rsid w:val="00471833"/>
    <w:rsid w:val="0047193C"/>
    <w:rsid w:val="004719AF"/>
    <w:rsid w:val="00471B6D"/>
    <w:rsid w:val="004721DF"/>
    <w:rsid w:val="00472BE7"/>
    <w:rsid w:val="00472D8C"/>
    <w:rsid w:val="00472E54"/>
    <w:rsid w:val="004733DC"/>
    <w:rsid w:val="0047360F"/>
    <w:rsid w:val="00474173"/>
    <w:rsid w:val="004757C9"/>
    <w:rsid w:val="004758D8"/>
    <w:rsid w:val="00476964"/>
    <w:rsid w:val="0047766B"/>
    <w:rsid w:val="004808E4"/>
    <w:rsid w:val="004811DD"/>
    <w:rsid w:val="00481422"/>
    <w:rsid w:val="00481C19"/>
    <w:rsid w:val="00481C6B"/>
    <w:rsid w:val="004826DE"/>
    <w:rsid w:val="00482946"/>
    <w:rsid w:val="00482DD0"/>
    <w:rsid w:val="00484088"/>
    <w:rsid w:val="0048443B"/>
    <w:rsid w:val="00484929"/>
    <w:rsid w:val="004849F2"/>
    <w:rsid w:val="00484ACB"/>
    <w:rsid w:val="004854E6"/>
    <w:rsid w:val="004863B9"/>
    <w:rsid w:val="00486F5E"/>
    <w:rsid w:val="00490370"/>
    <w:rsid w:val="004904E8"/>
    <w:rsid w:val="00490680"/>
    <w:rsid w:val="00491536"/>
    <w:rsid w:val="0049173D"/>
    <w:rsid w:val="00491D4C"/>
    <w:rsid w:val="00491D9B"/>
    <w:rsid w:val="00491E34"/>
    <w:rsid w:val="0049238A"/>
    <w:rsid w:val="00492E2B"/>
    <w:rsid w:val="004930AF"/>
    <w:rsid w:val="00493C63"/>
    <w:rsid w:val="00494591"/>
    <w:rsid w:val="00494CF3"/>
    <w:rsid w:val="00495D45"/>
    <w:rsid w:val="004960F9"/>
    <w:rsid w:val="00496F1D"/>
    <w:rsid w:val="004975D7"/>
    <w:rsid w:val="00497FA5"/>
    <w:rsid w:val="004A0791"/>
    <w:rsid w:val="004A07FD"/>
    <w:rsid w:val="004A0F54"/>
    <w:rsid w:val="004A164B"/>
    <w:rsid w:val="004A1742"/>
    <w:rsid w:val="004A2D4A"/>
    <w:rsid w:val="004A30D3"/>
    <w:rsid w:val="004A3817"/>
    <w:rsid w:val="004A4AE6"/>
    <w:rsid w:val="004A4E22"/>
    <w:rsid w:val="004A5E1F"/>
    <w:rsid w:val="004A6EF3"/>
    <w:rsid w:val="004A7103"/>
    <w:rsid w:val="004A786B"/>
    <w:rsid w:val="004A788C"/>
    <w:rsid w:val="004A7F14"/>
    <w:rsid w:val="004B0A15"/>
    <w:rsid w:val="004B0B6A"/>
    <w:rsid w:val="004B26B1"/>
    <w:rsid w:val="004B2C8C"/>
    <w:rsid w:val="004B3011"/>
    <w:rsid w:val="004B30A1"/>
    <w:rsid w:val="004B3954"/>
    <w:rsid w:val="004B3A96"/>
    <w:rsid w:val="004B3C9E"/>
    <w:rsid w:val="004B3CFD"/>
    <w:rsid w:val="004B3D7F"/>
    <w:rsid w:val="004B464E"/>
    <w:rsid w:val="004B4CD8"/>
    <w:rsid w:val="004B5FEC"/>
    <w:rsid w:val="004B764B"/>
    <w:rsid w:val="004B7859"/>
    <w:rsid w:val="004C07AD"/>
    <w:rsid w:val="004C0C0F"/>
    <w:rsid w:val="004C11FB"/>
    <w:rsid w:val="004C1756"/>
    <w:rsid w:val="004C1A86"/>
    <w:rsid w:val="004C1C73"/>
    <w:rsid w:val="004C38EC"/>
    <w:rsid w:val="004C39AB"/>
    <w:rsid w:val="004C4004"/>
    <w:rsid w:val="004C40A8"/>
    <w:rsid w:val="004C4705"/>
    <w:rsid w:val="004C4AB2"/>
    <w:rsid w:val="004C614D"/>
    <w:rsid w:val="004C6516"/>
    <w:rsid w:val="004C659C"/>
    <w:rsid w:val="004C69E5"/>
    <w:rsid w:val="004D0592"/>
    <w:rsid w:val="004D13AB"/>
    <w:rsid w:val="004D1E1C"/>
    <w:rsid w:val="004D2113"/>
    <w:rsid w:val="004D2334"/>
    <w:rsid w:val="004D28E3"/>
    <w:rsid w:val="004D2CF5"/>
    <w:rsid w:val="004D3837"/>
    <w:rsid w:val="004D49B0"/>
    <w:rsid w:val="004D5476"/>
    <w:rsid w:val="004D7258"/>
    <w:rsid w:val="004D7D99"/>
    <w:rsid w:val="004E0E83"/>
    <w:rsid w:val="004E1FD0"/>
    <w:rsid w:val="004E212E"/>
    <w:rsid w:val="004E38DE"/>
    <w:rsid w:val="004E3A99"/>
    <w:rsid w:val="004E3AA0"/>
    <w:rsid w:val="004E3CDE"/>
    <w:rsid w:val="004E4377"/>
    <w:rsid w:val="004E4867"/>
    <w:rsid w:val="004E4D2D"/>
    <w:rsid w:val="004E586D"/>
    <w:rsid w:val="004E66EF"/>
    <w:rsid w:val="004E6868"/>
    <w:rsid w:val="004E6C75"/>
    <w:rsid w:val="004E7399"/>
    <w:rsid w:val="004E79C4"/>
    <w:rsid w:val="004F19AF"/>
    <w:rsid w:val="004F1B9B"/>
    <w:rsid w:val="004F32D3"/>
    <w:rsid w:val="004F4070"/>
    <w:rsid w:val="004F4306"/>
    <w:rsid w:val="004F6615"/>
    <w:rsid w:val="004F6C43"/>
    <w:rsid w:val="004F6C6A"/>
    <w:rsid w:val="004F6CF0"/>
    <w:rsid w:val="004F7016"/>
    <w:rsid w:val="004F754F"/>
    <w:rsid w:val="00501123"/>
    <w:rsid w:val="00502E9D"/>
    <w:rsid w:val="005047EF"/>
    <w:rsid w:val="00504955"/>
    <w:rsid w:val="00504BF7"/>
    <w:rsid w:val="00504F92"/>
    <w:rsid w:val="00505EA0"/>
    <w:rsid w:val="005061AC"/>
    <w:rsid w:val="0050689E"/>
    <w:rsid w:val="00506998"/>
    <w:rsid w:val="00506AB3"/>
    <w:rsid w:val="005076DA"/>
    <w:rsid w:val="0050787F"/>
    <w:rsid w:val="00507E70"/>
    <w:rsid w:val="0051095B"/>
    <w:rsid w:val="00510D14"/>
    <w:rsid w:val="00511310"/>
    <w:rsid w:val="00511989"/>
    <w:rsid w:val="00511FF5"/>
    <w:rsid w:val="00512229"/>
    <w:rsid w:val="005124A6"/>
    <w:rsid w:val="00512E82"/>
    <w:rsid w:val="0051327A"/>
    <w:rsid w:val="005133BD"/>
    <w:rsid w:val="00513497"/>
    <w:rsid w:val="005137BA"/>
    <w:rsid w:val="00513B08"/>
    <w:rsid w:val="0051409F"/>
    <w:rsid w:val="00514296"/>
    <w:rsid w:val="00514432"/>
    <w:rsid w:val="00514A57"/>
    <w:rsid w:val="00514ADF"/>
    <w:rsid w:val="00514D46"/>
    <w:rsid w:val="00514E11"/>
    <w:rsid w:val="00515AD7"/>
    <w:rsid w:val="00515B0C"/>
    <w:rsid w:val="00516E3B"/>
    <w:rsid w:val="00520190"/>
    <w:rsid w:val="0052049E"/>
    <w:rsid w:val="005207B7"/>
    <w:rsid w:val="00520CC4"/>
    <w:rsid w:val="005226F5"/>
    <w:rsid w:val="005228D5"/>
    <w:rsid w:val="005228EE"/>
    <w:rsid w:val="005229BC"/>
    <w:rsid w:val="0052354F"/>
    <w:rsid w:val="005238E1"/>
    <w:rsid w:val="0052491E"/>
    <w:rsid w:val="005254A9"/>
    <w:rsid w:val="00525791"/>
    <w:rsid w:val="00525C6D"/>
    <w:rsid w:val="00526254"/>
    <w:rsid w:val="00526271"/>
    <w:rsid w:val="0052673B"/>
    <w:rsid w:val="005272B6"/>
    <w:rsid w:val="005303F7"/>
    <w:rsid w:val="0053087D"/>
    <w:rsid w:val="005309FE"/>
    <w:rsid w:val="00530D99"/>
    <w:rsid w:val="00531152"/>
    <w:rsid w:val="00531602"/>
    <w:rsid w:val="00531714"/>
    <w:rsid w:val="005318B4"/>
    <w:rsid w:val="00531D40"/>
    <w:rsid w:val="005320FA"/>
    <w:rsid w:val="005320FD"/>
    <w:rsid w:val="00532B93"/>
    <w:rsid w:val="00534CFB"/>
    <w:rsid w:val="00535C00"/>
    <w:rsid w:val="00535CDA"/>
    <w:rsid w:val="00535FB9"/>
    <w:rsid w:val="0053684F"/>
    <w:rsid w:val="005368C8"/>
    <w:rsid w:val="00540DCB"/>
    <w:rsid w:val="005414D3"/>
    <w:rsid w:val="0054191F"/>
    <w:rsid w:val="005419B3"/>
    <w:rsid w:val="005420E6"/>
    <w:rsid w:val="005427F7"/>
    <w:rsid w:val="00542827"/>
    <w:rsid w:val="00542A4E"/>
    <w:rsid w:val="005436F9"/>
    <w:rsid w:val="00543969"/>
    <w:rsid w:val="00543EF7"/>
    <w:rsid w:val="00543F7C"/>
    <w:rsid w:val="005442D9"/>
    <w:rsid w:val="0054480E"/>
    <w:rsid w:val="00544B0C"/>
    <w:rsid w:val="005459F6"/>
    <w:rsid w:val="00545C6F"/>
    <w:rsid w:val="00545E77"/>
    <w:rsid w:val="00546404"/>
    <w:rsid w:val="005469C5"/>
    <w:rsid w:val="00547571"/>
    <w:rsid w:val="0054779F"/>
    <w:rsid w:val="00550083"/>
    <w:rsid w:val="00550242"/>
    <w:rsid w:val="00550BBC"/>
    <w:rsid w:val="00550C74"/>
    <w:rsid w:val="005514AD"/>
    <w:rsid w:val="00551F28"/>
    <w:rsid w:val="00552A3C"/>
    <w:rsid w:val="00554230"/>
    <w:rsid w:val="00554B6F"/>
    <w:rsid w:val="00554C35"/>
    <w:rsid w:val="00554D90"/>
    <w:rsid w:val="00556243"/>
    <w:rsid w:val="00556534"/>
    <w:rsid w:val="00556B6A"/>
    <w:rsid w:val="00560F74"/>
    <w:rsid w:val="00561115"/>
    <w:rsid w:val="00561597"/>
    <w:rsid w:val="00561A5E"/>
    <w:rsid w:val="005620D8"/>
    <w:rsid w:val="00562DC1"/>
    <w:rsid w:val="005630C7"/>
    <w:rsid w:val="00563EB7"/>
    <w:rsid w:val="00564AF1"/>
    <w:rsid w:val="00564CBA"/>
    <w:rsid w:val="005650B9"/>
    <w:rsid w:val="0056529D"/>
    <w:rsid w:val="0056536B"/>
    <w:rsid w:val="00566385"/>
    <w:rsid w:val="00566762"/>
    <w:rsid w:val="00567890"/>
    <w:rsid w:val="00567A66"/>
    <w:rsid w:val="0057101F"/>
    <w:rsid w:val="00571B91"/>
    <w:rsid w:val="00571C6E"/>
    <w:rsid w:val="005728BD"/>
    <w:rsid w:val="0057320C"/>
    <w:rsid w:val="00573DAE"/>
    <w:rsid w:val="00573F02"/>
    <w:rsid w:val="005741E6"/>
    <w:rsid w:val="00574476"/>
    <w:rsid w:val="005746BF"/>
    <w:rsid w:val="00575415"/>
    <w:rsid w:val="005769B1"/>
    <w:rsid w:val="00576A63"/>
    <w:rsid w:val="00576F2E"/>
    <w:rsid w:val="0057766F"/>
    <w:rsid w:val="0058018B"/>
    <w:rsid w:val="00580594"/>
    <w:rsid w:val="005809C7"/>
    <w:rsid w:val="00580D91"/>
    <w:rsid w:val="00581834"/>
    <w:rsid w:val="00581839"/>
    <w:rsid w:val="0058199E"/>
    <w:rsid w:val="00581A36"/>
    <w:rsid w:val="00583ABE"/>
    <w:rsid w:val="00584730"/>
    <w:rsid w:val="00584BF2"/>
    <w:rsid w:val="00585968"/>
    <w:rsid w:val="00585C13"/>
    <w:rsid w:val="00586555"/>
    <w:rsid w:val="005872F7"/>
    <w:rsid w:val="00587E70"/>
    <w:rsid w:val="00590CC2"/>
    <w:rsid w:val="005912A2"/>
    <w:rsid w:val="00592736"/>
    <w:rsid w:val="005948CF"/>
    <w:rsid w:val="00594C80"/>
    <w:rsid w:val="00594EFE"/>
    <w:rsid w:val="005950ED"/>
    <w:rsid w:val="00596085"/>
    <w:rsid w:val="00596679"/>
    <w:rsid w:val="00596C36"/>
    <w:rsid w:val="005979B5"/>
    <w:rsid w:val="005A03C1"/>
    <w:rsid w:val="005A07CA"/>
    <w:rsid w:val="005A1319"/>
    <w:rsid w:val="005A1630"/>
    <w:rsid w:val="005A3794"/>
    <w:rsid w:val="005A40B1"/>
    <w:rsid w:val="005A62CB"/>
    <w:rsid w:val="005A65FD"/>
    <w:rsid w:val="005A78D2"/>
    <w:rsid w:val="005A7A0F"/>
    <w:rsid w:val="005B0E4B"/>
    <w:rsid w:val="005B1016"/>
    <w:rsid w:val="005B1B8A"/>
    <w:rsid w:val="005B24D8"/>
    <w:rsid w:val="005B294A"/>
    <w:rsid w:val="005B37BD"/>
    <w:rsid w:val="005B4468"/>
    <w:rsid w:val="005B44A6"/>
    <w:rsid w:val="005B5758"/>
    <w:rsid w:val="005B6F34"/>
    <w:rsid w:val="005B70EC"/>
    <w:rsid w:val="005B7260"/>
    <w:rsid w:val="005B7C03"/>
    <w:rsid w:val="005C04AC"/>
    <w:rsid w:val="005C0AB1"/>
    <w:rsid w:val="005C161D"/>
    <w:rsid w:val="005C1FDA"/>
    <w:rsid w:val="005C225E"/>
    <w:rsid w:val="005C25D9"/>
    <w:rsid w:val="005C32D5"/>
    <w:rsid w:val="005C342F"/>
    <w:rsid w:val="005C3466"/>
    <w:rsid w:val="005C3D21"/>
    <w:rsid w:val="005C404E"/>
    <w:rsid w:val="005C5AC3"/>
    <w:rsid w:val="005C7893"/>
    <w:rsid w:val="005D0D79"/>
    <w:rsid w:val="005D2CC8"/>
    <w:rsid w:val="005D32F1"/>
    <w:rsid w:val="005D333F"/>
    <w:rsid w:val="005D360B"/>
    <w:rsid w:val="005D3FA4"/>
    <w:rsid w:val="005D4BDD"/>
    <w:rsid w:val="005D4D56"/>
    <w:rsid w:val="005D5274"/>
    <w:rsid w:val="005D5C24"/>
    <w:rsid w:val="005D5D1E"/>
    <w:rsid w:val="005D5DC5"/>
    <w:rsid w:val="005D6A43"/>
    <w:rsid w:val="005D7A69"/>
    <w:rsid w:val="005D7DED"/>
    <w:rsid w:val="005D7F67"/>
    <w:rsid w:val="005E0887"/>
    <w:rsid w:val="005E1261"/>
    <w:rsid w:val="005E21AE"/>
    <w:rsid w:val="005E2CE6"/>
    <w:rsid w:val="005E367A"/>
    <w:rsid w:val="005E3A2D"/>
    <w:rsid w:val="005E3FB5"/>
    <w:rsid w:val="005E46F7"/>
    <w:rsid w:val="005E53BE"/>
    <w:rsid w:val="005E5B12"/>
    <w:rsid w:val="005E6C78"/>
    <w:rsid w:val="005E6D5C"/>
    <w:rsid w:val="005E72DD"/>
    <w:rsid w:val="005E74E1"/>
    <w:rsid w:val="005E7739"/>
    <w:rsid w:val="005F0359"/>
    <w:rsid w:val="005F05F0"/>
    <w:rsid w:val="005F0EC7"/>
    <w:rsid w:val="005F113C"/>
    <w:rsid w:val="005F18DD"/>
    <w:rsid w:val="005F190F"/>
    <w:rsid w:val="005F1BF3"/>
    <w:rsid w:val="005F2417"/>
    <w:rsid w:val="005F244B"/>
    <w:rsid w:val="005F25AC"/>
    <w:rsid w:val="005F28DC"/>
    <w:rsid w:val="005F321B"/>
    <w:rsid w:val="005F485E"/>
    <w:rsid w:val="005F52C2"/>
    <w:rsid w:val="005F54C9"/>
    <w:rsid w:val="005F5ADD"/>
    <w:rsid w:val="005F5B70"/>
    <w:rsid w:val="005F611B"/>
    <w:rsid w:val="005F635A"/>
    <w:rsid w:val="005F65BB"/>
    <w:rsid w:val="005F6C47"/>
    <w:rsid w:val="005F7695"/>
    <w:rsid w:val="005F7756"/>
    <w:rsid w:val="005F7C65"/>
    <w:rsid w:val="006003BB"/>
    <w:rsid w:val="0060069D"/>
    <w:rsid w:val="0060096C"/>
    <w:rsid w:val="00600C32"/>
    <w:rsid w:val="006010D8"/>
    <w:rsid w:val="00601112"/>
    <w:rsid w:val="006015EA"/>
    <w:rsid w:val="00601B60"/>
    <w:rsid w:val="00601E31"/>
    <w:rsid w:val="00602317"/>
    <w:rsid w:val="00602CF5"/>
    <w:rsid w:val="00603F57"/>
    <w:rsid w:val="00604552"/>
    <w:rsid w:val="00604857"/>
    <w:rsid w:val="00604A8B"/>
    <w:rsid w:val="006061C1"/>
    <w:rsid w:val="00607144"/>
    <w:rsid w:val="00607215"/>
    <w:rsid w:val="006076F9"/>
    <w:rsid w:val="00610137"/>
    <w:rsid w:val="00611372"/>
    <w:rsid w:val="00611406"/>
    <w:rsid w:val="00612815"/>
    <w:rsid w:val="00614546"/>
    <w:rsid w:val="00614AA5"/>
    <w:rsid w:val="00615350"/>
    <w:rsid w:val="00615914"/>
    <w:rsid w:val="006166A6"/>
    <w:rsid w:val="00616A3F"/>
    <w:rsid w:val="00616D99"/>
    <w:rsid w:val="00617165"/>
    <w:rsid w:val="006176CD"/>
    <w:rsid w:val="00617BEF"/>
    <w:rsid w:val="00620385"/>
    <w:rsid w:val="00620F4B"/>
    <w:rsid w:val="00620FCA"/>
    <w:rsid w:val="0062168E"/>
    <w:rsid w:val="006231EF"/>
    <w:rsid w:val="0062376C"/>
    <w:rsid w:val="00623B6F"/>
    <w:rsid w:val="006246B3"/>
    <w:rsid w:val="00625415"/>
    <w:rsid w:val="00625F68"/>
    <w:rsid w:val="0062641F"/>
    <w:rsid w:val="00626B5F"/>
    <w:rsid w:val="00626E3C"/>
    <w:rsid w:val="00626F4B"/>
    <w:rsid w:val="00627813"/>
    <w:rsid w:val="00627D1F"/>
    <w:rsid w:val="006307B1"/>
    <w:rsid w:val="00630DFD"/>
    <w:rsid w:val="00631AF5"/>
    <w:rsid w:val="00632508"/>
    <w:rsid w:val="00632552"/>
    <w:rsid w:val="00632686"/>
    <w:rsid w:val="0063314D"/>
    <w:rsid w:val="00633429"/>
    <w:rsid w:val="0063451E"/>
    <w:rsid w:val="006346DF"/>
    <w:rsid w:val="00634E75"/>
    <w:rsid w:val="006350A9"/>
    <w:rsid w:val="006365E1"/>
    <w:rsid w:val="00636D84"/>
    <w:rsid w:val="006376F7"/>
    <w:rsid w:val="006377F9"/>
    <w:rsid w:val="00637910"/>
    <w:rsid w:val="00640D18"/>
    <w:rsid w:val="00640D33"/>
    <w:rsid w:val="00640D84"/>
    <w:rsid w:val="00641C8D"/>
    <w:rsid w:val="00642B58"/>
    <w:rsid w:val="00643363"/>
    <w:rsid w:val="006446CB"/>
    <w:rsid w:val="006446E7"/>
    <w:rsid w:val="00644AEE"/>
    <w:rsid w:val="006451BF"/>
    <w:rsid w:val="00646EFD"/>
    <w:rsid w:val="00647579"/>
    <w:rsid w:val="00647C50"/>
    <w:rsid w:val="00647FBC"/>
    <w:rsid w:val="0065047D"/>
    <w:rsid w:val="00650B40"/>
    <w:rsid w:val="00653089"/>
    <w:rsid w:val="00653774"/>
    <w:rsid w:val="00653F43"/>
    <w:rsid w:val="00654567"/>
    <w:rsid w:val="00654B1C"/>
    <w:rsid w:val="00654B8D"/>
    <w:rsid w:val="006563CE"/>
    <w:rsid w:val="00661F92"/>
    <w:rsid w:val="00662F40"/>
    <w:rsid w:val="0066302D"/>
    <w:rsid w:val="0066317D"/>
    <w:rsid w:val="0066382D"/>
    <w:rsid w:val="00664011"/>
    <w:rsid w:val="006640B6"/>
    <w:rsid w:val="00664400"/>
    <w:rsid w:val="006655EF"/>
    <w:rsid w:val="006662CA"/>
    <w:rsid w:val="006674D1"/>
    <w:rsid w:val="006679D7"/>
    <w:rsid w:val="00670369"/>
    <w:rsid w:val="006704D2"/>
    <w:rsid w:val="00670928"/>
    <w:rsid w:val="00670E9C"/>
    <w:rsid w:val="00672242"/>
    <w:rsid w:val="00672444"/>
    <w:rsid w:val="00672609"/>
    <w:rsid w:val="00672CAF"/>
    <w:rsid w:val="00673143"/>
    <w:rsid w:val="00673317"/>
    <w:rsid w:val="00673DFD"/>
    <w:rsid w:val="00673FA8"/>
    <w:rsid w:val="006741A4"/>
    <w:rsid w:val="006750B7"/>
    <w:rsid w:val="006753B5"/>
    <w:rsid w:val="00675C51"/>
    <w:rsid w:val="00675DB5"/>
    <w:rsid w:val="00676B16"/>
    <w:rsid w:val="006779F5"/>
    <w:rsid w:val="006805F3"/>
    <w:rsid w:val="00680ADC"/>
    <w:rsid w:val="00682B17"/>
    <w:rsid w:val="00682B67"/>
    <w:rsid w:val="00682C5B"/>
    <w:rsid w:val="00685636"/>
    <w:rsid w:val="00685A0F"/>
    <w:rsid w:val="00690433"/>
    <w:rsid w:val="00690A29"/>
    <w:rsid w:val="00690AB2"/>
    <w:rsid w:val="00690D39"/>
    <w:rsid w:val="00691398"/>
    <w:rsid w:val="0069190F"/>
    <w:rsid w:val="00691F65"/>
    <w:rsid w:val="006921FA"/>
    <w:rsid w:val="00692A35"/>
    <w:rsid w:val="00692F3B"/>
    <w:rsid w:val="00693519"/>
    <w:rsid w:val="00693C13"/>
    <w:rsid w:val="00693C93"/>
    <w:rsid w:val="00694B01"/>
    <w:rsid w:val="0069614F"/>
    <w:rsid w:val="00696924"/>
    <w:rsid w:val="00696D69"/>
    <w:rsid w:val="00697220"/>
    <w:rsid w:val="006A0571"/>
    <w:rsid w:val="006A085D"/>
    <w:rsid w:val="006A129E"/>
    <w:rsid w:val="006A2246"/>
    <w:rsid w:val="006A28A4"/>
    <w:rsid w:val="006A2C63"/>
    <w:rsid w:val="006A35CE"/>
    <w:rsid w:val="006A3985"/>
    <w:rsid w:val="006A3D66"/>
    <w:rsid w:val="006A41A2"/>
    <w:rsid w:val="006A41E5"/>
    <w:rsid w:val="006A4A94"/>
    <w:rsid w:val="006A55D0"/>
    <w:rsid w:val="006A5A12"/>
    <w:rsid w:val="006A7A93"/>
    <w:rsid w:val="006A7B7F"/>
    <w:rsid w:val="006A7BE8"/>
    <w:rsid w:val="006B00B5"/>
    <w:rsid w:val="006B1113"/>
    <w:rsid w:val="006B18EE"/>
    <w:rsid w:val="006B1AEA"/>
    <w:rsid w:val="006B20F7"/>
    <w:rsid w:val="006B232D"/>
    <w:rsid w:val="006B2BFB"/>
    <w:rsid w:val="006B370D"/>
    <w:rsid w:val="006B53C3"/>
    <w:rsid w:val="006B5D23"/>
    <w:rsid w:val="006B6135"/>
    <w:rsid w:val="006B6532"/>
    <w:rsid w:val="006B70C9"/>
    <w:rsid w:val="006B767D"/>
    <w:rsid w:val="006B7C43"/>
    <w:rsid w:val="006C103C"/>
    <w:rsid w:val="006C1211"/>
    <w:rsid w:val="006C2141"/>
    <w:rsid w:val="006C2158"/>
    <w:rsid w:val="006C4869"/>
    <w:rsid w:val="006C4AD9"/>
    <w:rsid w:val="006C5E68"/>
    <w:rsid w:val="006C5EC9"/>
    <w:rsid w:val="006C680E"/>
    <w:rsid w:val="006C7402"/>
    <w:rsid w:val="006D01BB"/>
    <w:rsid w:val="006D024E"/>
    <w:rsid w:val="006D14F9"/>
    <w:rsid w:val="006D1CD3"/>
    <w:rsid w:val="006D2042"/>
    <w:rsid w:val="006D24C6"/>
    <w:rsid w:val="006D27EA"/>
    <w:rsid w:val="006D2C88"/>
    <w:rsid w:val="006D2FDB"/>
    <w:rsid w:val="006D3227"/>
    <w:rsid w:val="006D363B"/>
    <w:rsid w:val="006D3F45"/>
    <w:rsid w:val="006D435B"/>
    <w:rsid w:val="006D4565"/>
    <w:rsid w:val="006D505C"/>
    <w:rsid w:val="006D5A23"/>
    <w:rsid w:val="006D5DA5"/>
    <w:rsid w:val="006D6B33"/>
    <w:rsid w:val="006D6D2F"/>
    <w:rsid w:val="006D6D95"/>
    <w:rsid w:val="006E0002"/>
    <w:rsid w:val="006E140E"/>
    <w:rsid w:val="006E1436"/>
    <w:rsid w:val="006E184F"/>
    <w:rsid w:val="006E2382"/>
    <w:rsid w:val="006E308A"/>
    <w:rsid w:val="006E338D"/>
    <w:rsid w:val="006E3616"/>
    <w:rsid w:val="006E382E"/>
    <w:rsid w:val="006E3CB8"/>
    <w:rsid w:val="006E46C3"/>
    <w:rsid w:val="006E551F"/>
    <w:rsid w:val="006E5650"/>
    <w:rsid w:val="006E5793"/>
    <w:rsid w:val="006E584A"/>
    <w:rsid w:val="006E667F"/>
    <w:rsid w:val="006E72BC"/>
    <w:rsid w:val="006E776C"/>
    <w:rsid w:val="006E7F16"/>
    <w:rsid w:val="006E7F26"/>
    <w:rsid w:val="006F02BB"/>
    <w:rsid w:val="006F032F"/>
    <w:rsid w:val="006F04F1"/>
    <w:rsid w:val="006F0853"/>
    <w:rsid w:val="006F0908"/>
    <w:rsid w:val="006F0DE5"/>
    <w:rsid w:val="006F105A"/>
    <w:rsid w:val="006F10BA"/>
    <w:rsid w:val="006F1F93"/>
    <w:rsid w:val="006F231C"/>
    <w:rsid w:val="006F272F"/>
    <w:rsid w:val="006F279B"/>
    <w:rsid w:val="006F30EA"/>
    <w:rsid w:val="006F3C5A"/>
    <w:rsid w:val="006F4FFC"/>
    <w:rsid w:val="006F53E8"/>
    <w:rsid w:val="006F6B21"/>
    <w:rsid w:val="006F72C6"/>
    <w:rsid w:val="0070024B"/>
    <w:rsid w:val="00701111"/>
    <w:rsid w:val="00701775"/>
    <w:rsid w:val="00701AE9"/>
    <w:rsid w:val="007025BA"/>
    <w:rsid w:val="00702B21"/>
    <w:rsid w:val="00702DE3"/>
    <w:rsid w:val="00703228"/>
    <w:rsid w:val="00703298"/>
    <w:rsid w:val="0070361C"/>
    <w:rsid w:val="00704AA2"/>
    <w:rsid w:val="00704D0C"/>
    <w:rsid w:val="00706001"/>
    <w:rsid w:val="007064D1"/>
    <w:rsid w:val="00706809"/>
    <w:rsid w:val="00706EE8"/>
    <w:rsid w:val="00707DF1"/>
    <w:rsid w:val="0071277B"/>
    <w:rsid w:val="0071295C"/>
    <w:rsid w:val="007137DD"/>
    <w:rsid w:val="00713A60"/>
    <w:rsid w:val="00714053"/>
    <w:rsid w:val="00714356"/>
    <w:rsid w:val="00714676"/>
    <w:rsid w:val="0071472E"/>
    <w:rsid w:val="00714C22"/>
    <w:rsid w:val="007159C1"/>
    <w:rsid w:val="00720A4D"/>
    <w:rsid w:val="00720B2C"/>
    <w:rsid w:val="00721013"/>
    <w:rsid w:val="00721933"/>
    <w:rsid w:val="00722A7F"/>
    <w:rsid w:val="00723DF7"/>
    <w:rsid w:val="007241C2"/>
    <w:rsid w:val="007244E6"/>
    <w:rsid w:val="007246BF"/>
    <w:rsid w:val="00724F42"/>
    <w:rsid w:val="007251FF"/>
    <w:rsid w:val="00725438"/>
    <w:rsid w:val="0072552F"/>
    <w:rsid w:val="0072553C"/>
    <w:rsid w:val="0072595C"/>
    <w:rsid w:val="00725A2D"/>
    <w:rsid w:val="00726A17"/>
    <w:rsid w:val="00726C44"/>
    <w:rsid w:val="007278DA"/>
    <w:rsid w:val="007308A8"/>
    <w:rsid w:val="00731549"/>
    <w:rsid w:val="0073184B"/>
    <w:rsid w:val="00732A7B"/>
    <w:rsid w:val="0073321E"/>
    <w:rsid w:val="0073330E"/>
    <w:rsid w:val="00733AD6"/>
    <w:rsid w:val="00734D98"/>
    <w:rsid w:val="00735674"/>
    <w:rsid w:val="00736578"/>
    <w:rsid w:val="00736635"/>
    <w:rsid w:val="0073701B"/>
    <w:rsid w:val="00737FE8"/>
    <w:rsid w:val="0074002E"/>
    <w:rsid w:val="00740754"/>
    <w:rsid w:val="00741917"/>
    <w:rsid w:val="00741BF3"/>
    <w:rsid w:val="007420B2"/>
    <w:rsid w:val="00742340"/>
    <w:rsid w:val="00742847"/>
    <w:rsid w:val="0074408F"/>
    <w:rsid w:val="007444D3"/>
    <w:rsid w:val="00744F9C"/>
    <w:rsid w:val="00745568"/>
    <w:rsid w:val="00745C6E"/>
    <w:rsid w:val="00745E7A"/>
    <w:rsid w:val="00746991"/>
    <w:rsid w:val="007478A8"/>
    <w:rsid w:val="00747B0B"/>
    <w:rsid w:val="007506FF"/>
    <w:rsid w:val="00750A1B"/>
    <w:rsid w:val="00750FFC"/>
    <w:rsid w:val="00752011"/>
    <w:rsid w:val="007522E0"/>
    <w:rsid w:val="007523F2"/>
    <w:rsid w:val="00752584"/>
    <w:rsid w:val="00752B78"/>
    <w:rsid w:val="00752F10"/>
    <w:rsid w:val="00753303"/>
    <w:rsid w:val="0075494F"/>
    <w:rsid w:val="00754A86"/>
    <w:rsid w:val="00760B71"/>
    <w:rsid w:val="00761576"/>
    <w:rsid w:val="00761AB9"/>
    <w:rsid w:val="00761F5A"/>
    <w:rsid w:val="00762565"/>
    <w:rsid w:val="00762582"/>
    <w:rsid w:val="00762850"/>
    <w:rsid w:val="00762C98"/>
    <w:rsid w:val="007633D8"/>
    <w:rsid w:val="00765940"/>
    <w:rsid w:val="00765D02"/>
    <w:rsid w:val="00765D33"/>
    <w:rsid w:val="00766365"/>
    <w:rsid w:val="00766567"/>
    <w:rsid w:val="0076759E"/>
    <w:rsid w:val="0076770F"/>
    <w:rsid w:val="00767841"/>
    <w:rsid w:val="00767927"/>
    <w:rsid w:val="00767EA0"/>
    <w:rsid w:val="00770985"/>
    <w:rsid w:val="00770A07"/>
    <w:rsid w:val="00771899"/>
    <w:rsid w:val="00771ACA"/>
    <w:rsid w:val="00772B56"/>
    <w:rsid w:val="00772BDB"/>
    <w:rsid w:val="00772EED"/>
    <w:rsid w:val="00774206"/>
    <w:rsid w:val="007744B5"/>
    <w:rsid w:val="00774F91"/>
    <w:rsid w:val="0077545C"/>
    <w:rsid w:val="0077582B"/>
    <w:rsid w:val="00775845"/>
    <w:rsid w:val="007770BA"/>
    <w:rsid w:val="00777386"/>
    <w:rsid w:val="00777705"/>
    <w:rsid w:val="00777EF4"/>
    <w:rsid w:val="00780247"/>
    <w:rsid w:val="007807D8"/>
    <w:rsid w:val="0078087F"/>
    <w:rsid w:val="007812AE"/>
    <w:rsid w:val="007822BA"/>
    <w:rsid w:val="007824BF"/>
    <w:rsid w:val="00782E00"/>
    <w:rsid w:val="00782F31"/>
    <w:rsid w:val="00783718"/>
    <w:rsid w:val="00783ACD"/>
    <w:rsid w:val="00783E79"/>
    <w:rsid w:val="00784881"/>
    <w:rsid w:val="007859C4"/>
    <w:rsid w:val="00785F57"/>
    <w:rsid w:val="0078609D"/>
    <w:rsid w:val="0078679F"/>
    <w:rsid w:val="007869E0"/>
    <w:rsid w:val="0078764A"/>
    <w:rsid w:val="00787CB7"/>
    <w:rsid w:val="007900E1"/>
    <w:rsid w:val="0079027D"/>
    <w:rsid w:val="007908B5"/>
    <w:rsid w:val="00791560"/>
    <w:rsid w:val="0079181D"/>
    <w:rsid w:val="00791A0E"/>
    <w:rsid w:val="0079245D"/>
    <w:rsid w:val="007924BF"/>
    <w:rsid w:val="00792A1B"/>
    <w:rsid w:val="00793016"/>
    <w:rsid w:val="007939FA"/>
    <w:rsid w:val="007940E7"/>
    <w:rsid w:val="00794AB5"/>
    <w:rsid w:val="00794EA5"/>
    <w:rsid w:val="00795339"/>
    <w:rsid w:val="0079641D"/>
    <w:rsid w:val="0079684A"/>
    <w:rsid w:val="007969DC"/>
    <w:rsid w:val="00797C2D"/>
    <w:rsid w:val="007A10F5"/>
    <w:rsid w:val="007A12B4"/>
    <w:rsid w:val="007A17AE"/>
    <w:rsid w:val="007A2A27"/>
    <w:rsid w:val="007A3CA1"/>
    <w:rsid w:val="007A3E8F"/>
    <w:rsid w:val="007A4326"/>
    <w:rsid w:val="007A470E"/>
    <w:rsid w:val="007A47C2"/>
    <w:rsid w:val="007A4FDC"/>
    <w:rsid w:val="007A53B5"/>
    <w:rsid w:val="007A55A6"/>
    <w:rsid w:val="007A59EF"/>
    <w:rsid w:val="007A5C9E"/>
    <w:rsid w:val="007A61B1"/>
    <w:rsid w:val="007A66C6"/>
    <w:rsid w:val="007A76BC"/>
    <w:rsid w:val="007A7977"/>
    <w:rsid w:val="007A7B04"/>
    <w:rsid w:val="007A7CFE"/>
    <w:rsid w:val="007A7D01"/>
    <w:rsid w:val="007A7E73"/>
    <w:rsid w:val="007B1034"/>
    <w:rsid w:val="007B14BE"/>
    <w:rsid w:val="007B1846"/>
    <w:rsid w:val="007B2CD4"/>
    <w:rsid w:val="007B31AC"/>
    <w:rsid w:val="007B359C"/>
    <w:rsid w:val="007B3BAA"/>
    <w:rsid w:val="007B45AA"/>
    <w:rsid w:val="007B48A7"/>
    <w:rsid w:val="007B498E"/>
    <w:rsid w:val="007B6244"/>
    <w:rsid w:val="007B6444"/>
    <w:rsid w:val="007B6B79"/>
    <w:rsid w:val="007B71E2"/>
    <w:rsid w:val="007B763E"/>
    <w:rsid w:val="007B7DC5"/>
    <w:rsid w:val="007B7F08"/>
    <w:rsid w:val="007C0C19"/>
    <w:rsid w:val="007C1712"/>
    <w:rsid w:val="007C1A2D"/>
    <w:rsid w:val="007C1F08"/>
    <w:rsid w:val="007C3638"/>
    <w:rsid w:val="007C3B20"/>
    <w:rsid w:val="007C4231"/>
    <w:rsid w:val="007C42C2"/>
    <w:rsid w:val="007C4EA6"/>
    <w:rsid w:val="007C6552"/>
    <w:rsid w:val="007C6F3D"/>
    <w:rsid w:val="007C704F"/>
    <w:rsid w:val="007C741D"/>
    <w:rsid w:val="007C75A5"/>
    <w:rsid w:val="007D02F5"/>
    <w:rsid w:val="007D08E7"/>
    <w:rsid w:val="007D09C5"/>
    <w:rsid w:val="007D0B6D"/>
    <w:rsid w:val="007D0DB8"/>
    <w:rsid w:val="007D1189"/>
    <w:rsid w:val="007D1424"/>
    <w:rsid w:val="007D1467"/>
    <w:rsid w:val="007D1780"/>
    <w:rsid w:val="007D1AE5"/>
    <w:rsid w:val="007D2509"/>
    <w:rsid w:val="007D268F"/>
    <w:rsid w:val="007D2989"/>
    <w:rsid w:val="007D31C0"/>
    <w:rsid w:val="007D3829"/>
    <w:rsid w:val="007D3AA8"/>
    <w:rsid w:val="007D3FD5"/>
    <w:rsid w:val="007D49A9"/>
    <w:rsid w:val="007D5D29"/>
    <w:rsid w:val="007E09A2"/>
    <w:rsid w:val="007E10BD"/>
    <w:rsid w:val="007E1364"/>
    <w:rsid w:val="007E1399"/>
    <w:rsid w:val="007E2E39"/>
    <w:rsid w:val="007E4135"/>
    <w:rsid w:val="007E4440"/>
    <w:rsid w:val="007E4CAD"/>
    <w:rsid w:val="007E5855"/>
    <w:rsid w:val="007E58A8"/>
    <w:rsid w:val="007E5DE5"/>
    <w:rsid w:val="007E5E99"/>
    <w:rsid w:val="007E6A51"/>
    <w:rsid w:val="007E7242"/>
    <w:rsid w:val="007E7C72"/>
    <w:rsid w:val="007F124F"/>
    <w:rsid w:val="007F1AB0"/>
    <w:rsid w:val="007F20B1"/>
    <w:rsid w:val="007F2D88"/>
    <w:rsid w:val="007F2FDE"/>
    <w:rsid w:val="007F3488"/>
    <w:rsid w:val="007F40D2"/>
    <w:rsid w:val="007F4308"/>
    <w:rsid w:val="007F4645"/>
    <w:rsid w:val="007F4B89"/>
    <w:rsid w:val="007F5209"/>
    <w:rsid w:val="007F5245"/>
    <w:rsid w:val="007F60CC"/>
    <w:rsid w:val="007F739A"/>
    <w:rsid w:val="007F77E2"/>
    <w:rsid w:val="007F7C92"/>
    <w:rsid w:val="0080187C"/>
    <w:rsid w:val="00801EA7"/>
    <w:rsid w:val="00802D59"/>
    <w:rsid w:val="008030B8"/>
    <w:rsid w:val="00803EA2"/>
    <w:rsid w:val="008046BA"/>
    <w:rsid w:val="0080496D"/>
    <w:rsid w:val="00804D28"/>
    <w:rsid w:val="00805699"/>
    <w:rsid w:val="00806542"/>
    <w:rsid w:val="00807055"/>
    <w:rsid w:val="00807DCF"/>
    <w:rsid w:val="00810408"/>
    <w:rsid w:val="00811009"/>
    <w:rsid w:val="00811189"/>
    <w:rsid w:val="00811426"/>
    <w:rsid w:val="00811448"/>
    <w:rsid w:val="00811919"/>
    <w:rsid w:val="00811C3B"/>
    <w:rsid w:val="00811DB4"/>
    <w:rsid w:val="00812CAE"/>
    <w:rsid w:val="00812D58"/>
    <w:rsid w:val="00812DEB"/>
    <w:rsid w:val="00812F62"/>
    <w:rsid w:val="00813254"/>
    <w:rsid w:val="00813387"/>
    <w:rsid w:val="00814876"/>
    <w:rsid w:val="008152CB"/>
    <w:rsid w:val="008153BB"/>
    <w:rsid w:val="008154D6"/>
    <w:rsid w:val="00815D9B"/>
    <w:rsid w:val="00815F97"/>
    <w:rsid w:val="0081629E"/>
    <w:rsid w:val="008204A9"/>
    <w:rsid w:val="00820587"/>
    <w:rsid w:val="00820DBD"/>
    <w:rsid w:val="00820E4E"/>
    <w:rsid w:val="00820FC2"/>
    <w:rsid w:val="00821B37"/>
    <w:rsid w:val="00821D5C"/>
    <w:rsid w:val="00821ED1"/>
    <w:rsid w:val="0082201E"/>
    <w:rsid w:val="0082351C"/>
    <w:rsid w:val="00823C56"/>
    <w:rsid w:val="00824BE3"/>
    <w:rsid w:val="00825878"/>
    <w:rsid w:val="008258CC"/>
    <w:rsid w:val="00827ACD"/>
    <w:rsid w:val="00830DF0"/>
    <w:rsid w:val="00831867"/>
    <w:rsid w:val="00831CA9"/>
    <w:rsid w:val="00831D38"/>
    <w:rsid w:val="0083235C"/>
    <w:rsid w:val="00832ED0"/>
    <w:rsid w:val="008338C8"/>
    <w:rsid w:val="00833FD9"/>
    <w:rsid w:val="0083433D"/>
    <w:rsid w:val="008351B5"/>
    <w:rsid w:val="008356E2"/>
    <w:rsid w:val="0083669C"/>
    <w:rsid w:val="008366E6"/>
    <w:rsid w:val="00837EF9"/>
    <w:rsid w:val="0084010A"/>
    <w:rsid w:val="0084060A"/>
    <w:rsid w:val="00840983"/>
    <w:rsid w:val="00840CFD"/>
    <w:rsid w:val="008419F5"/>
    <w:rsid w:val="00841D05"/>
    <w:rsid w:val="00841DF8"/>
    <w:rsid w:val="008428C4"/>
    <w:rsid w:val="00842D99"/>
    <w:rsid w:val="0084316D"/>
    <w:rsid w:val="0084334E"/>
    <w:rsid w:val="00843494"/>
    <w:rsid w:val="0084396A"/>
    <w:rsid w:val="0084580D"/>
    <w:rsid w:val="0084595D"/>
    <w:rsid w:val="00846585"/>
    <w:rsid w:val="00846E65"/>
    <w:rsid w:val="00850E19"/>
    <w:rsid w:val="00851849"/>
    <w:rsid w:val="00851F01"/>
    <w:rsid w:val="00851F95"/>
    <w:rsid w:val="0085204D"/>
    <w:rsid w:val="00852A5F"/>
    <w:rsid w:val="0085338B"/>
    <w:rsid w:val="008538CE"/>
    <w:rsid w:val="008544A0"/>
    <w:rsid w:val="008559BE"/>
    <w:rsid w:val="008565F7"/>
    <w:rsid w:val="00857361"/>
    <w:rsid w:val="00860048"/>
    <w:rsid w:val="008605ED"/>
    <w:rsid w:val="008608BC"/>
    <w:rsid w:val="00860923"/>
    <w:rsid w:val="00860C8A"/>
    <w:rsid w:val="00860FF8"/>
    <w:rsid w:val="00861E73"/>
    <w:rsid w:val="00861E92"/>
    <w:rsid w:val="0086239F"/>
    <w:rsid w:val="00863CD9"/>
    <w:rsid w:val="00864286"/>
    <w:rsid w:val="00864647"/>
    <w:rsid w:val="00865952"/>
    <w:rsid w:val="00865D05"/>
    <w:rsid w:val="0086655F"/>
    <w:rsid w:val="00867157"/>
    <w:rsid w:val="0086777A"/>
    <w:rsid w:val="00871D15"/>
    <w:rsid w:val="00872534"/>
    <w:rsid w:val="00873708"/>
    <w:rsid w:val="00873EF6"/>
    <w:rsid w:val="008740BF"/>
    <w:rsid w:val="00874B20"/>
    <w:rsid w:val="00876137"/>
    <w:rsid w:val="008761EE"/>
    <w:rsid w:val="00876A61"/>
    <w:rsid w:val="00876F08"/>
    <w:rsid w:val="00877A86"/>
    <w:rsid w:val="00880731"/>
    <w:rsid w:val="00880A51"/>
    <w:rsid w:val="00880D09"/>
    <w:rsid w:val="00882A00"/>
    <w:rsid w:val="00882FFF"/>
    <w:rsid w:val="00883965"/>
    <w:rsid w:val="008843E1"/>
    <w:rsid w:val="008846A7"/>
    <w:rsid w:val="00884EC9"/>
    <w:rsid w:val="00885091"/>
    <w:rsid w:val="00887182"/>
    <w:rsid w:val="00890B85"/>
    <w:rsid w:val="00890C12"/>
    <w:rsid w:val="00890E5C"/>
    <w:rsid w:val="00891774"/>
    <w:rsid w:val="008918E6"/>
    <w:rsid w:val="00892E47"/>
    <w:rsid w:val="008937FB"/>
    <w:rsid w:val="00893F9D"/>
    <w:rsid w:val="008945BC"/>
    <w:rsid w:val="0089501F"/>
    <w:rsid w:val="00895D33"/>
    <w:rsid w:val="00895F24"/>
    <w:rsid w:val="00896454"/>
    <w:rsid w:val="00896489"/>
    <w:rsid w:val="00896EBD"/>
    <w:rsid w:val="008970B0"/>
    <w:rsid w:val="008A01A2"/>
    <w:rsid w:val="008A0495"/>
    <w:rsid w:val="008A0969"/>
    <w:rsid w:val="008A1028"/>
    <w:rsid w:val="008A1195"/>
    <w:rsid w:val="008A11AB"/>
    <w:rsid w:val="008A13A8"/>
    <w:rsid w:val="008A1A30"/>
    <w:rsid w:val="008A406C"/>
    <w:rsid w:val="008A4130"/>
    <w:rsid w:val="008A4C54"/>
    <w:rsid w:val="008A56B1"/>
    <w:rsid w:val="008A61DC"/>
    <w:rsid w:val="008A6520"/>
    <w:rsid w:val="008A6DA5"/>
    <w:rsid w:val="008A7B09"/>
    <w:rsid w:val="008B01F6"/>
    <w:rsid w:val="008B0618"/>
    <w:rsid w:val="008B0C57"/>
    <w:rsid w:val="008B1194"/>
    <w:rsid w:val="008B159A"/>
    <w:rsid w:val="008B1F6F"/>
    <w:rsid w:val="008B25E2"/>
    <w:rsid w:val="008B46AD"/>
    <w:rsid w:val="008B4FD0"/>
    <w:rsid w:val="008B5878"/>
    <w:rsid w:val="008B68E7"/>
    <w:rsid w:val="008B765E"/>
    <w:rsid w:val="008B77BB"/>
    <w:rsid w:val="008C08C3"/>
    <w:rsid w:val="008C2111"/>
    <w:rsid w:val="008C2194"/>
    <w:rsid w:val="008C2330"/>
    <w:rsid w:val="008C267F"/>
    <w:rsid w:val="008C31F0"/>
    <w:rsid w:val="008C3819"/>
    <w:rsid w:val="008C3A18"/>
    <w:rsid w:val="008C402C"/>
    <w:rsid w:val="008C5077"/>
    <w:rsid w:val="008C51E4"/>
    <w:rsid w:val="008C564D"/>
    <w:rsid w:val="008C5A21"/>
    <w:rsid w:val="008C5B65"/>
    <w:rsid w:val="008C5D53"/>
    <w:rsid w:val="008C6535"/>
    <w:rsid w:val="008C6A35"/>
    <w:rsid w:val="008C6AA8"/>
    <w:rsid w:val="008C6D65"/>
    <w:rsid w:val="008D005A"/>
    <w:rsid w:val="008D1853"/>
    <w:rsid w:val="008D2163"/>
    <w:rsid w:val="008D28E1"/>
    <w:rsid w:val="008D3715"/>
    <w:rsid w:val="008D3B43"/>
    <w:rsid w:val="008D4445"/>
    <w:rsid w:val="008D4BD5"/>
    <w:rsid w:val="008D5C93"/>
    <w:rsid w:val="008D6C4A"/>
    <w:rsid w:val="008D73F2"/>
    <w:rsid w:val="008D7C7E"/>
    <w:rsid w:val="008E0580"/>
    <w:rsid w:val="008E0B3C"/>
    <w:rsid w:val="008E10D9"/>
    <w:rsid w:val="008E1A41"/>
    <w:rsid w:val="008E25A0"/>
    <w:rsid w:val="008E3336"/>
    <w:rsid w:val="008E33A9"/>
    <w:rsid w:val="008E350B"/>
    <w:rsid w:val="008E35E2"/>
    <w:rsid w:val="008E3E51"/>
    <w:rsid w:val="008E4082"/>
    <w:rsid w:val="008E4D4E"/>
    <w:rsid w:val="008E5578"/>
    <w:rsid w:val="008E5679"/>
    <w:rsid w:val="008E575A"/>
    <w:rsid w:val="008E62D1"/>
    <w:rsid w:val="008E65C5"/>
    <w:rsid w:val="008E7538"/>
    <w:rsid w:val="008E7A70"/>
    <w:rsid w:val="008E7C1A"/>
    <w:rsid w:val="008E7DFD"/>
    <w:rsid w:val="008F0154"/>
    <w:rsid w:val="008F0473"/>
    <w:rsid w:val="008F1A7E"/>
    <w:rsid w:val="008F1D4D"/>
    <w:rsid w:val="008F21B0"/>
    <w:rsid w:val="008F225B"/>
    <w:rsid w:val="008F334F"/>
    <w:rsid w:val="008F352C"/>
    <w:rsid w:val="008F3667"/>
    <w:rsid w:val="008F4329"/>
    <w:rsid w:val="008F52F2"/>
    <w:rsid w:val="008F5A00"/>
    <w:rsid w:val="008F68CB"/>
    <w:rsid w:val="008F69DD"/>
    <w:rsid w:val="008F6AB3"/>
    <w:rsid w:val="008F78C7"/>
    <w:rsid w:val="008F7BD0"/>
    <w:rsid w:val="00901F6D"/>
    <w:rsid w:val="009026F8"/>
    <w:rsid w:val="00902796"/>
    <w:rsid w:val="00902B4C"/>
    <w:rsid w:val="00903535"/>
    <w:rsid w:val="009036ED"/>
    <w:rsid w:val="00904771"/>
    <w:rsid w:val="00904BC3"/>
    <w:rsid w:val="00905A46"/>
    <w:rsid w:val="00905DAA"/>
    <w:rsid w:val="0090649E"/>
    <w:rsid w:val="00907ED4"/>
    <w:rsid w:val="00910580"/>
    <w:rsid w:val="00910943"/>
    <w:rsid w:val="00910D50"/>
    <w:rsid w:val="0091145E"/>
    <w:rsid w:val="0091241F"/>
    <w:rsid w:val="009135CD"/>
    <w:rsid w:val="00913A12"/>
    <w:rsid w:val="009147AF"/>
    <w:rsid w:val="009149DF"/>
    <w:rsid w:val="00914AC8"/>
    <w:rsid w:val="009157CE"/>
    <w:rsid w:val="009157E1"/>
    <w:rsid w:val="0091588F"/>
    <w:rsid w:val="00916CC6"/>
    <w:rsid w:val="00916DA1"/>
    <w:rsid w:val="00917457"/>
    <w:rsid w:val="00917D64"/>
    <w:rsid w:val="00917E34"/>
    <w:rsid w:val="00917F3C"/>
    <w:rsid w:val="009207F2"/>
    <w:rsid w:val="00920BAA"/>
    <w:rsid w:val="009214C6"/>
    <w:rsid w:val="00921756"/>
    <w:rsid w:val="00921D28"/>
    <w:rsid w:val="00922099"/>
    <w:rsid w:val="00922B2D"/>
    <w:rsid w:val="009231E2"/>
    <w:rsid w:val="00923A92"/>
    <w:rsid w:val="00923CC6"/>
    <w:rsid w:val="00924457"/>
    <w:rsid w:val="0092477B"/>
    <w:rsid w:val="00924EC6"/>
    <w:rsid w:val="00926E07"/>
    <w:rsid w:val="00927A0A"/>
    <w:rsid w:val="00927AB4"/>
    <w:rsid w:val="009303D0"/>
    <w:rsid w:val="0093065D"/>
    <w:rsid w:val="00930CC3"/>
    <w:rsid w:val="00931E21"/>
    <w:rsid w:val="00932000"/>
    <w:rsid w:val="009321C4"/>
    <w:rsid w:val="0093235A"/>
    <w:rsid w:val="00932749"/>
    <w:rsid w:val="00932A84"/>
    <w:rsid w:val="009331BF"/>
    <w:rsid w:val="009338B4"/>
    <w:rsid w:val="009339E4"/>
    <w:rsid w:val="009339F6"/>
    <w:rsid w:val="00933C29"/>
    <w:rsid w:val="00933EF1"/>
    <w:rsid w:val="009340B5"/>
    <w:rsid w:val="00934804"/>
    <w:rsid w:val="00935D48"/>
    <w:rsid w:val="00936A39"/>
    <w:rsid w:val="00936FDD"/>
    <w:rsid w:val="00937CD1"/>
    <w:rsid w:val="00937D0B"/>
    <w:rsid w:val="0094032F"/>
    <w:rsid w:val="0094061D"/>
    <w:rsid w:val="00940CDD"/>
    <w:rsid w:val="00941880"/>
    <w:rsid w:val="00941FAC"/>
    <w:rsid w:val="00942E34"/>
    <w:rsid w:val="0094305A"/>
    <w:rsid w:val="00943F5D"/>
    <w:rsid w:val="0094400E"/>
    <w:rsid w:val="009448CE"/>
    <w:rsid w:val="00944AE4"/>
    <w:rsid w:val="0094513A"/>
    <w:rsid w:val="0094561B"/>
    <w:rsid w:val="00945720"/>
    <w:rsid w:val="00945A35"/>
    <w:rsid w:val="009464C0"/>
    <w:rsid w:val="00946C5B"/>
    <w:rsid w:val="009473D0"/>
    <w:rsid w:val="00950014"/>
    <w:rsid w:val="0095063F"/>
    <w:rsid w:val="009516A8"/>
    <w:rsid w:val="009519F3"/>
    <w:rsid w:val="0095231D"/>
    <w:rsid w:val="00952725"/>
    <w:rsid w:val="00956E8D"/>
    <w:rsid w:val="00957CCE"/>
    <w:rsid w:val="00960701"/>
    <w:rsid w:val="00961B37"/>
    <w:rsid w:val="00961CAC"/>
    <w:rsid w:val="009630C1"/>
    <w:rsid w:val="0096320C"/>
    <w:rsid w:val="009636DF"/>
    <w:rsid w:val="00963D8A"/>
    <w:rsid w:val="0096516E"/>
    <w:rsid w:val="0096571B"/>
    <w:rsid w:val="00965EFC"/>
    <w:rsid w:val="00966128"/>
    <w:rsid w:val="009663B2"/>
    <w:rsid w:val="00966D66"/>
    <w:rsid w:val="0096707E"/>
    <w:rsid w:val="00967309"/>
    <w:rsid w:val="00967349"/>
    <w:rsid w:val="00967686"/>
    <w:rsid w:val="009709AD"/>
    <w:rsid w:val="00970AC5"/>
    <w:rsid w:val="00970FF4"/>
    <w:rsid w:val="00971260"/>
    <w:rsid w:val="00971434"/>
    <w:rsid w:val="009727BB"/>
    <w:rsid w:val="00973052"/>
    <w:rsid w:val="009733A8"/>
    <w:rsid w:val="0097398B"/>
    <w:rsid w:val="00974CB7"/>
    <w:rsid w:val="00975A71"/>
    <w:rsid w:val="00976CCA"/>
    <w:rsid w:val="00980029"/>
    <w:rsid w:val="00980765"/>
    <w:rsid w:val="00981141"/>
    <w:rsid w:val="009815E1"/>
    <w:rsid w:val="00981F37"/>
    <w:rsid w:val="009821AF"/>
    <w:rsid w:val="009824D7"/>
    <w:rsid w:val="009841EA"/>
    <w:rsid w:val="009845B7"/>
    <w:rsid w:val="00984DF5"/>
    <w:rsid w:val="0098530C"/>
    <w:rsid w:val="00985F76"/>
    <w:rsid w:val="0098604D"/>
    <w:rsid w:val="0098614E"/>
    <w:rsid w:val="00986AF5"/>
    <w:rsid w:val="009873D0"/>
    <w:rsid w:val="009876BB"/>
    <w:rsid w:val="0099023A"/>
    <w:rsid w:val="0099109F"/>
    <w:rsid w:val="0099136B"/>
    <w:rsid w:val="0099174C"/>
    <w:rsid w:val="0099181A"/>
    <w:rsid w:val="00991822"/>
    <w:rsid w:val="00992751"/>
    <w:rsid w:val="00992A81"/>
    <w:rsid w:val="00992DDF"/>
    <w:rsid w:val="009932B6"/>
    <w:rsid w:val="00993E3D"/>
    <w:rsid w:val="009946AC"/>
    <w:rsid w:val="0099514E"/>
    <w:rsid w:val="009969A3"/>
    <w:rsid w:val="00996FBE"/>
    <w:rsid w:val="009979B7"/>
    <w:rsid w:val="00997A62"/>
    <w:rsid w:val="00997DD1"/>
    <w:rsid w:val="009A126D"/>
    <w:rsid w:val="009A163A"/>
    <w:rsid w:val="009A1B2A"/>
    <w:rsid w:val="009A4873"/>
    <w:rsid w:val="009A4942"/>
    <w:rsid w:val="009A599F"/>
    <w:rsid w:val="009A6821"/>
    <w:rsid w:val="009A6D07"/>
    <w:rsid w:val="009A7D7F"/>
    <w:rsid w:val="009B03CD"/>
    <w:rsid w:val="009B091C"/>
    <w:rsid w:val="009B0DA6"/>
    <w:rsid w:val="009B187A"/>
    <w:rsid w:val="009B204E"/>
    <w:rsid w:val="009B254F"/>
    <w:rsid w:val="009B2F82"/>
    <w:rsid w:val="009B3840"/>
    <w:rsid w:val="009B392D"/>
    <w:rsid w:val="009B39DE"/>
    <w:rsid w:val="009B3E8B"/>
    <w:rsid w:val="009B48CE"/>
    <w:rsid w:val="009B52B3"/>
    <w:rsid w:val="009B576C"/>
    <w:rsid w:val="009B6252"/>
    <w:rsid w:val="009B69A1"/>
    <w:rsid w:val="009B6DD5"/>
    <w:rsid w:val="009B7335"/>
    <w:rsid w:val="009B772C"/>
    <w:rsid w:val="009B77A7"/>
    <w:rsid w:val="009B7829"/>
    <w:rsid w:val="009C05C6"/>
    <w:rsid w:val="009C1D11"/>
    <w:rsid w:val="009C2735"/>
    <w:rsid w:val="009C382D"/>
    <w:rsid w:val="009C407E"/>
    <w:rsid w:val="009C4291"/>
    <w:rsid w:val="009C59FC"/>
    <w:rsid w:val="009C6485"/>
    <w:rsid w:val="009C727E"/>
    <w:rsid w:val="009C72F3"/>
    <w:rsid w:val="009C791A"/>
    <w:rsid w:val="009D0B20"/>
    <w:rsid w:val="009D0D0D"/>
    <w:rsid w:val="009D1D05"/>
    <w:rsid w:val="009D1E71"/>
    <w:rsid w:val="009D1F54"/>
    <w:rsid w:val="009D2C46"/>
    <w:rsid w:val="009D2F4F"/>
    <w:rsid w:val="009D3D83"/>
    <w:rsid w:val="009D42D6"/>
    <w:rsid w:val="009D48D3"/>
    <w:rsid w:val="009D4D5B"/>
    <w:rsid w:val="009D4D72"/>
    <w:rsid w:val="009D4DEF"/>
    <w:rsid w:val="009D55FF"/>
    <w:rsid w:val="009D5BBD"/>
    <w:rsid w:val="009D5ECB"/>
    <w:rsid w:val="009D607E"/>
    <w:rsid w:val="009D769F"/>
    <w:rsid w:val="009D76E8"/>
    <w:rsid w:val="009E037B"/>
    <w:rsid w:val="009E07F5"/>
    <w:rsid w:val="009E0E68"/>
    <w:rsid w:val="009E0EAC"/>
    <w:rsid w:val="009E125F"/>
    <w:rsid w:val="009E12C4"/>
    <w:rsid w:val="009E2BA2"/>
    <w:rsid w:val="009E2C06"/>
    <w:rsid w:val="009E347D"/>
    <w:rsid w:val="009E3A03"/>
    <w:rsid w:val="009E3C4D"/>
    <w:rsid w:val="009E3CE5"/>
    <w:rsid w:val="009E4012"/>
    <w:rsid w:val="009E66ED"/>
    <w:rsid w:val="009E6AE9"/>
    <w:rsid w:val="009E72BC"/>
    <w:rsid w:val="009E7A64"/>
    <w:rsid w:val="009F01A1"/>
    <w:rsid w:val="009F165F"/>
    <w:rsid w:val="009F170A"/>
    <w:rsid w:val="009F1B34"/>
    <w:rsid w:val="009F37B5"/>
    <w:rsid w:val="009F37FF"/>
    <w:rsid w:val="009F3B5C"/>
    <w:rsid w:val="009F4497"/>
    <w:rsid w:val="009F57C3"/>
    <w:rsid w:val="009F61CF"/>
    <w:rsid w:val="009F7834"/>
    <w:rsid w:val="009F79E3"/>
    <w:rsid w:val="00A00DB1"/>
    <w:rsid w:val="00A01075"/>
    <w:rsid w:val="00A011DB"/>
    <w:rsid w:val="00A014D5"/>
    <w:rsid w:val="00A032F0"/>
    <w:rsid w:val="00A03EE9"/>
    <w:rsid w:val="00A04C41"/>
    <w:rsid w:val="00A05A5C"/>
    <w:rsid w:val="00A06948"/>
    <w:rsid w:val="00A07064"/>
    <w:rsid w:val="00A07496"/>
    <w:rsid w:val="00A10119"/>
    <w:rsid w:val="00A104ED"/>
    <w:rsid w:val="00A11BCF"/>
    <w:rsid w:val="00A12727"/>
    <w:rsid w:val="00A12895"/>
    <w:rsid w:val="00A13877"/>
    <w:rsid w:val="00A144AC"/>
    <w:rsid w:val="00A14718"/>
    <w:rsid w:val="00A148A0"/>
    <w:rsid w:val="00A159DD"/>
    <w:rsid w:val="00A16DB1"/>
    <w:rsid w:val="00A174B0"/>
    <w:rsid w:val="00A1768F"/>
    <w:rsid w:val="00A17F0B"/>
    <w:rsid w:val="00A20145"/>
    <w:rsid w:val="00A2019A"/>
    <w:rsid w:val="00A204E4"/>
    <w:rsid w:val="00A206D4"/>
    <w:rsid w:val="00A20AF7"/>
    <w:rsid w:val="00A21739"/>
    <w:rsid w:val="00A231AC"/>
    <w:rsid w:val="00A23C6E"/>
    <w:rsid w:val="00A2496E"/>
    <w:rsid w:val="00A25645"/>
    <w:rsid w:val="00A25A63"/>
    <w:rsid w:val="00A25A97"/>
    <w:rsid w:val="00A26ED2"/>
    <w:rsid w:val="00A30373"/>
    <w:rsid w:val="00A30478"/>
    <w:rsid w:val="00A328DA"/>
    <w:rsid w:val="00A34513"/>
    <w:rsid w:val="00A36BFB"/>
    <w:rsid w:val="00A3751F"/>
    <w:rsid w:val="00A40B69"/>
    <w:rsid w:val="00A40E93"/>
    <w:rsid w:val="00A4154E"/>
    <w:rsid w:val="00A41C14"/>
    <w:rsid w:val="00A41C74"/>
    <w:rsid w:val="00A41ECA"/>
    <w:rsid w:val="00A42009"/>
    <w:rsid w:val="00A42547"/>
    <w:rsid w:val="00A42FD4"/>
    <w:rsid w:val="00A43091"/>
    <w:rsid w:val="00A4367D"/>
    <w:rsid w:val="00A43CB5"/>
    <w:rsid w:val="00A43CF6"/>
    <w:rsid w:val="00A44177"/>
    <w:rsid w:val="00A44195"/>
    <w:rsid w:val="00A44626"/>
    <w:rsid w:val="00A4511D"/>
    <w:rsid w:val="00A45513"/>
    <w:rsid w:val="00A467EA"/>
    <w:rsid w:val="00A4698E"/>
    <w:rsid w:val="00A46D91"/>
    <w:rsid w:val="00A46FEB"/>
    <w:rsid w:val="00A50981"/>
    <w:rsid w:val="00A50EDB"/>
    <w:rsid w:val="00A510E1"/>
    <w:rsid w:val="00A51E3F"/>
    <w:rsid w:val="00A51E93"/>
    <w:rsid w:val="00A5290C"/>
    <w:rsid w:val="00A52A2E"/>
    <w:rsid w:val="00A52C25"/>
    <w:rsid w:val="00A5402F"/>
    <w:rsid w:val="00A542D8"/>
    <w:rsid w:val="00A54599"/>
    <w:rsid w:val="00A54AFA"/>
    <w:rsid w:val="00A54E24"/>
    <w:rsid w:val="00A555E6"/>
    <w:rsid w:val="00A55B72"/>
    <w:rsid w:val="00A564A0"/>
    <w:rsid w:val="00A56893"/>
    <w:rsid w:val="00A56CDB"/>
    <w:rsid w:val="00A5794B"/>
    <w:rsid w:val="00A57D37"/>
    <w:rsid w:val="00A57E03"/>
    <w:rsid w:val="00A57FE4"/>
    <w:rsid w:val="00A60547"/>
    <w:rsid w:val="00A607B7"/>
    <w:rsid w:val="00A60ABA"/>
    <w:rsid w:val="00A61332"/>
    <w:rsid w:val="00A61AF8"/>
    <w:rsid w:val="00A61B76"/>
    <w:rsid w:val="00A61C37"/>
    <w:rsid w:val="00A61D23"/>
    <w:rsid w:val="00A620B3"/>
    <w:rsid w:val="00A620E5"/>
    <w:rsid w:val="00A62BF7"/>
    <w:rsid w:val="00A630B3"/>
    <w:rsid w:val="00A630E3"/>
    <w:rsid w:val="00A635FA"/>
    <w:rsid w:val="00A63614"/>
    <w:rsid w:val="00A639FE"/>
    <w:rsid w:val="00A648C2"/>
    <w:rsid w:val="00A658BF"/>
    <w:rsid w:val="00A66341"/>
    <w:rsid w:val="00A67198"/>
    <w:rsid w:val="00A67455"/>
    <w:rsid w:val="00A70170"/>
    <w:rsid w:val="00A7144A"/>
    <w:rsid w:val="00A7174E"/>
    <w:rsid w:val="00A71B65"/>
    <w:rsid w:val="00A72EFD"/>
    <w:rsid w:val="00A731E4"/>
    <w:rsid w:val="00A73303"/>
    <w:rsid w:val="00A734F0"/>
    <w:rsid w:val="00A744DD"/>
    <w:rsid w:val="00A74FC8"/>
    <w:rsid w:val="00A74FD0"/>
    <w:rsid w:val="00A750B0"/>
    <w:rsid w:val="00A76273"/>
    <w:rsid w:val="00A767EC"/>
    <w:rsid w:val="00A76E49"/>
    <w:rsid w:val="00A809CB"/>
    <w:rsid w:val="00A80F15"/>
    <w:rsid w:val="00A8142B"/>
    <w:rsid w:val="00A81A70"/>
    <w:rsid w:val="00A81C4F"/>
    <w:rsid w:val="00A82078"/>
    <w:rsid w:val="00A82564"/>
    <w:rsid w:val="00A8333C"/>
    <w:rsid w:val="00A8420A"/>
    <w:rsid w:val="00A84BE8"/>
    <w:rsid w:val="00A851D1"/>
    <w:rsid w:val="00A85AC2"/>
    <w:rsid w:val="00A86214"/>
    <w:rsid w:val="00A863E1"/>
    <w:rsid w:val="00A86665"/>
    <w:rsid w:val="00A868EB"/>
    <w:rsid w:val="00A87A38"/>
    <w:rsid w:val="00A90D47"/>
    <w:rsid w:val="00A915CD"/>
    <w:rsid w:val="00A92164"/>
    <w:rsid w:val="00A92956"/>
    <w:rsid w:val="00A92E19"/>
    <w:rsid w:val="00A93A1A"/>
    <w:rsid w:val="00A952D3"/>
    <w:rsid w:val="00A95763"/>
    <w:rsid w:val="00A95916"/>
    <w:rsid w:val="00A95E3E"/>
    <w:rsid w:val="00A9627D"/>
    <w:rsid w:val="00A963F9"/>
    <w:rsid w:val="00A9703B"/>
    <w:rsid w:val="00A97906"/>
    <w:rsid w:val="00A97CA3"/>
    <w:rsid w:val="00AA2975"/>
    <w:rsid w:val="00AA33E3"/>
    <w:rsid w:val="00AA3FDE"/>
    <w:rsid w:val="00AA4FCD"/>
    <w:rsid w:val="00AA5011"/>
    <w:rsid w:val="00AA5184"/>
    <w:rsid w:val="00AA5812"/>
    <w:rsid w:val="00AA6850"/>
    <w:rsid w:val="00AA6B12"/>
    <w:rsid w:val="00AA7241"/>
    <w:rsid w:val="00AA791E"/>
    <w:rsid w:val="00AA7E2E"/>
    <w:rsid w:val="00AA7FB2"/>
    <w:rsid w:val="00AB017D"/>
    <w:rsid w:val="00AB0254"/>
    <w:rsid w:val="00AB079A"/>
    <w:rsid w:val="00AB0ECC"/>
    <w:rsid w:val="00AB1ACA"/>
    <w:rsid w:val="00AB1C73"/>
    <w:rsid w:val="00AB1DBD"/>
    <w:rsid w:val="00AB232E"/>
    <w:rsid w:val="00AB2437"/>
    <w:rsid w:val="00AB24FF"/>
    <w:rsid w:val="00AB2508"/>
    <w:rsid w:val="00AB281A"/>
    <w:rsid w:val="00AB2BA7"/>
    <w:rsid w:val="00AB4260"/>
    <w:rsid w:val="00AB4AAA"/>
    <w:rsid w:val="00AB4E4E"/>
    <w:rsid w:val="00AB5602"/>
    <w:rsid w:val="00AB62A7"/>
    <w:rsid w:val="00AB6377"/>
    <w:rsid w:val="00AB6631"/>
    <w:rsid w:val="00AB698D"/>
    <w:rsid w:val="00AB6C08"/>
    <w:rsid w:val="00AB7230"/>
    <w:rsid w:val="00AB7281"/>
    <w:rsid w:val="00AB7406"/>
    <w:rsid w:val="00AB7ADF"/>
    <w:rsid w:val="00AB7D81"/>
    <w:rsid w:val="00AC1471"/>
    <w:rsid w:val="00AC155A"/>
    <w:rsid w:val="00AC1B5E"/>
    <w:rsid w:val="00AC1CE9"/>
    <w:rsid w:val="00AC2777"/>
    <w:rsid w:val="00AC3732"/>
    <w:rsid w:val="00AC4032"/>
    <w:rsid w:val="00AC477A"/>
    <w:rsid w:val="00AC4A30"/>
    <w:rsid w:val="00AC4AC2"/>
    <w:rsid w:val="00AC6EF6"/>
    <w:rsid w:val="00AD0C8B"/>
    <w:rsid w:val="00AD0D3C"/>
    <w:rsid w:val="00AD1982"/>
    <w:rsid w:val="00AD1B33"/>
    <w:rsid w:val="00AD1B40"/>
    <w:rsid w:val="00AD201D"/>
    <w:rsid w:val="00AD2046"/>
    <w:rsid w:val="00AD2310"/>
    <w:rsid w:val="00AD2B85"/>
    <w:rsid w:val="00AD2C17"/>
    <w:rsid w:val="00AD2E44"/>
    <w:rsid w:val="00AD360B"/>
    <w:rsid w:val="00AD45D1"/>
    <w:rsid w:val="00AD470E"/>
    <w:rsid w:val="00AD495F"/>
    <w:rsid w:val="00AD5216"/>
    <w:rsid w:val="00AD578C"/>
    <w:rsid w:val="00AD5939"/>
    <w:rsid w:val="00AD61CE"/>
    <w:rsid w:val="00AD626E"/>
    <w:rsid w:val="00AD73A6"/>
    <w:rsid w:val="00AD7A17"/>
    <w:rsid w:val="00AD7A33"/>
    <w:rsid w:val="00AD7F4C"/>
    <w:rsid w:val="00AE0DB3"/>
    <w:rsid w:val="00AE17AA"/>
    <w:rsid w:val="00AE1BEB"/>
    <w:rsid w:val="00AE20DF"/>
    <w:rsid w:val="00AE263A"/>
    <w:rsid w:val="00AE2881"/>
    <w:rsid w:val="00AE2FE3"/>
    <w:rsid w:val="00AE3430"/>
    <w:rsid w:val="00AE366E"/>
    <w:rsid w:val="00AE47C3"/>
    <w:rsid w:val="00AE59E6"/>
    <w:rsid w:val="00AE5A19"/>
    <w:rsid w:val="00AE6634"/>
    <w:rsid w:val="00AE73E2"/>
    <w:rsid w:val="00AF01E7"/>
    <w:rsid w:val="00AF0762"/>
    <w:rsid w:val="00AF0C2B"/>
    <w:rsid w:val="00AF138B"/>
    <w:rsid w:val="00AF3510"/>
    <w:rsid w:val="00AF3A63"/>
    <w:rsid w:val="00AF3B82"/>
    <w:rsid w:val="00AF41E6"/>
    <w:rsid w:val="00AF4573"/>
    <w:rsid w:val="00AF48B1"/>
    <w:rsid w:val="00AF4AF6"/>
    <w:rsid w:val="00AF4E56"/>
    <w:rsid w:val="00AF530A"/>
    <w:rsid w:val="00AF5E7F"/>
    <w:rsid w:val="00AF677B"/>
    <w:rsid w:val="00AF67A5"/>
    <w:rsid w:val="00AF67D6"/>
    <w:rsid w:val="00AF67D9"/>
    <w:rsid w:val="00AF67F7"/>
    <w:rsid w:val="00AF74E5"/>
    <w:rsid w:val="00B00CA7"/>
    <w:rsid w:val="00B00E05"/>
    <w:rsid w:val="00B01718"/>
    <w:rsid w:val="00B01ABF"/>
    <w:rsid w:val="00B03053"/>
    <w:rsid w:val="00B0348B"/>
    <w:rsid w:val="00B04C24"/>
    <w:rsid w:val="00B05030"/>
    <w:rsid w:val="00B06B80"/>
    <w:rsid w:val="00B07527"/>
    <w:rsid w:val="00B101A9"/>
    <w:rsid w:val="00B11A87"/>
    <w:rsid w:val="00B11EED"/>
    <w:rsid w:val="00B1202F"/>
    <w:rsid w:val="00B128A2"/>
    <w:rsid w:val="00B12943"/>
    <w:rsid w:val="00B12A09"/>
    <w:rsid w:val="00B12A88"/>
    <w:rsid w:val="00B13B8A"/>
    <w:rsid w:val="00B13E66"/>
    <w:rsid w:val="00B1576B"/>
    <w:rsid w:val="00B162BD"/>
    <w:rsid w:val="00B16D48"/>
    <w:rsid w:val="00B1722B"/>
    <w:rsid w:val="00B17661"/>
    <w:rsid w:val="00B17C1A"/>
    <w:rsid w:val="00B20A00"/>
    <w:rsid w:val="00B20CF5"/>
    <w:rsid w:val="00B20E39"/>
    <w:rsid w:val="00B218FF"/>
    <w:rsid w:val="00B21A62"/>
    <w:rsid w:val="00B22F3D"/>
    <w:rsid w:val="00B233C3"/>
    <w:rsid w:val="00B2371E"/>
    <w:rsid w:val="00B23A69"/>
    <w:rsid w:val="00B2475E"/>
    <w:rsid w:val="00B25592"/>
    <w:rsid w:val="00B26268"/>
    <w:rsid w:val="00B268E0"/>
    <w:rsid w:val="00B27836"/>
    <w:rsid w:val="00B27AA6"/>
    <w:rsid w:val="00B27F20"/>
    <w:rsid w:val="00B30174"/>
    <w:rsid w:val="00B31414"/>
    <w:rsid w:val="00B314C7"/>
    <w:rsid w:val="00B31975"/>
    <w:rsid w:val="00B32C7E"/>
    <w:rsid w:val="00B32F2D"/>
    <w:rsid w:val="00B332EE"/>
    <w:rsid w:val="00B3334A"/>
    <w:rsid w:val="00B33632"/>
    <w:rsid w:val="00B338DE"/>
    <w:rsid w:val="00B33BF3"/>
    <w:rsid w:val="00B34534"/>
    <w:rsid w:val="00B34A18"/>
    <w:rsid w:val="00B34D42"/>
    <w:rsid w:val="00B35233"/>
    <w:rsid w:val="00B359D0"/>
    <w:rsid w:val="00B368B6"/>
    <w:rsid w:val="00B369CD"/>
    <w:rsid w:val="00B36B1C"/>
    <w:rsid w:val="00B3700F"/>
    <w:rsid w:val="00B374AE"/>
    <w:rsid w:val="00B3791F"/>
    <w:rsid w:val="00B379C7"/>
    <w:rsid w:val="00B408AE"/>
    <w:rsid w:val="00B40A9F"/>
    <w:rsid w:val="00B40D3E"/>
    <w:rsid w:val="00B40FBE"/>
    <w:rsid w:val="00B41027"/>
    <w:rsid w:val="00B419B4"/>
    <w:rsid w:val="00B4226A"/>
    <w:rsid w:val="00B439C1"/>
    <w:rsid w:val="00B440B8"/>
    <w:rsid w:val="00B44268"/>
    <w:rsid w:val="00B44A89"/>
    <w:rsid w:val="00B44D0A"/>
    <w:rsid w:val="00B44E1F"/>
    <w:rsid w:val="00B456C6"/>
    <w:rsid w:val="00B457D4"/>
    <w:rsid w:val="00B45EE4"/>
    <w:rsid w:val="00B45F12"/>
    <w:rsid w:val="00B471B9"/>
    <w:rsid w:val="00B47455"/>
    <w:rsid w:val="00B50E4D"/>
    <w:rsid w:val="00B510B8"/>
    <w:rsid w:val="00B510E3"/>
    <w:rsid w:val="00B51397"/>
    <w:rsid w:val="00B523F5"/>
    <w:rsid w:val="00B54188"/>
    <w:rsid w:val="00B542C7"/>
    <w:rsid w:val="00B54D69"/>
    <w:rsid w:val="00B55060"/>
    <w:rsid w:val="00B551ED"/>
    <w:rsid w:val="00B5600A"/>
    <w:rsid w:val="00B56078"/>
    <w:rsid w:val="00B566C9"/>
    <w:rsid w:val="00B567D4"/>
    <w:rsid w:val="00B56EF8"/>
    <w:rsid w:val="00B56F6C"/>
    <w:rsid w:val="00B5721A"/>
    <w:rsid w:val="00B5751A"/>
    <w:rsid w:val="00B5790C"/>
    <w:rsid w:val="00B60146"/>
    <w:rsid w:val="00B602B9"/>
    <w:rsid w:val="00B6058E"/>
    <w:rsid w:val="00B61287"/>
    <w:rsid w:val="00B61295"/>
    <w:rsid w:val="00B616A0"/>
    <w:rsid w:val="00B61706"/>
    <w:rsid w:val="00B61B20"/>
    <w:rsid w:val="00B62504"/>
    <w:rsid w:val="00B62CC6"/>
    <w:rsid w:val="00B63101"/>
    <w:rsid w:val="00B63138"/>
    <w:rsid w:val="00B632A2"/>
    <w:rsid w:val="00B64FFE"/>
    <w:rsid w:val="00B6544B"/>
    <w:rsid w:val="00B65967"/>
    <w:rsid w:val="00B66BB7"/>
    <w:rsid w:val="00B66FE6"/>
    <w:rsid w:val="00B6749A"/>
    <w:rsid w:val="00B6750E"/>
    <w:rsid w:val="00B67777"/>
    <w:rsid w:val="00B67EB1"/>
    <w:rsid w:val="00B7112D"/>
    <w:rsid w:val="00B71C75"/>
    <w:rsid w:val="00B727FD"/>
    <w:rsid w:val="00B7315E"/>
    <w:rsid w:val="00B7436F"/>
    <w:rsid w:val="00B74E8C"/>
    <w:rsid w:val="00B752AE"/>
    <w:rsid w:val="00B75E36"/>
    <w:rsid w:val="00B75E69"/>
    <w:rsid w:val="00B76201"/>
    <w:rsid w:val="00B766C0"/>
    <w:rsid w:val="00B766CD"/>
    <w:rsid w:val="00B769DB"/>
    <w:rsid w:val="00B77749"/>
    <w:rsid w:val="00B77B88"/>
    <w:rsid w:val="00B77F68"/>
    <w:rsid w:val="00B80A4A"/>
    <w:rsid w:val="00B81526"/>
    <w:rsid w:val="00B8170E"/>
    <w:rsid w:val="00B81996"/>
    <w:rsid w:val="00B81B57"/>
    <w:rsid w:val="00B82480"/>
    <w:rsid w:val="00B8314E"/>
    <w:rsid w:val="00B83CB9"/>
    <w:rsid w:val="00B841F9"/>
    <w:rsid w:val="00B84242"/>
    <w:rsid w:val="00B84F9B"/>
    <w:rsid w:val="00B86ABC"/>
    <w:rsid w:val="00B87083"/>
    <w:rsid w:val="00B9108C"/>
    <w:rsid w:val="00B91679"/>
    <w:rsid w:val="00B92FB9"/>
    <w:rsid w:val="00B9317E"/>
    <w:rsid w:val="00B942EE"/>
    <w:rsid w:val="00B94339"/>
    <w:rsid w:val="00B94EFE"/>
    <w:rsid w:val="00B95545"/>
    <w:rsid w:val="00B95C4F"/>
    <w:rsid w:val="00B95EDD"/>
    <w:rsid w:val="00B962E3"/>
    <w:rsid w:val="00B96942"/>
    <w:rsid w:val="00B9714B"/>
    <w:rsid w:val="00BA019E"/>
    <w:rsid w:val="00BA1F80"/>
    <w:rsid w:val="00BA416E"/>
    <w:rsid w:val="00BA41D0"/>
    <w:rsid w:val="00BA464D"/>
    <w:rsid w:val="00BA472F"/>
    <w:rsid w:val="00BA4DB5"/>
    <w:rsid w:val="00BA511B"/>
    <w:rsid w:val="00BA5824"/>
    <w:rsid w:val="00BA6A69"/>
    <w:rsid w:val="00BA76D3"/>
    <w:rsid w:val="00BA7BCB"/>
    <w:rsid w:val="00BB016D"/>
    <w:rsid w:val="00BB0212"/>
    <w:rsid w:val="00BB0673"/>
    <w:rsid w:val="00BB14F4"/>
    <w:rsid w:val="00BB365C"/>
    <w:rsid w:val="00BB3AFE"/>
    <w:rsid w:val="00BB3FC4"/>
    <w:rsid w:val="00BB546E"/>
    <w:rsid w:val="00BB5B8C"/>
    <w:rsid w:val="00BB5F2F"/>
    <w:rsid w:val="00BB6659"/>
    <w:rsid w:val="00BB6F6A"/>
    <w:rsid w:val="00BB7B11"/>
    <w:rsid w:val="00BC0006"/>
    <w:rsid w:val="00BC14B1"/>
    <w:rsid w:val="00BC184D"/>
    <w:rsid w:val="00BC23CB"/>
    <w:rsid w:val="00BC2524"/>
    <w:rsid w:val="00BC397A"/>
    <w:rsid w:val="00BC404D"/>
    <w:rsid w:val="00BC5650"/>
    <w:rsid w:val="00BC6103"/>
    <w:rsid w:val="00BC67F9"/>
    <w:rsid w:val="00BC6BDE"/>
    <w:rsid w:val="00BC6C7A"/>
    <w:rsid w:val="00BC6DF3"/>
    <w:rsid w:val="00BC73E3"/>
    <w:rsid w:val="00BC7412"/>
    <w:rsid w:val="00BC7C16"/>
    <w:rsid w:val="00BD01A8"/>
    <w:rsid w:val="00BD19BF"/>
    <w:rsid w:val="00BD1FF0"/>
    <w:rsid w:val="00BD2969"/>
    <w:rsid w:val="00BD3519"/>
    <w:rsid w:val="00BD3852"/>
    <w:rsid w:val="00BD3E4B"/>
    <w:rsid w:val="00BD40FB"/>
    <w:rsid w:val="00BD4B77"/>
    <w:rsid w:val="00BD4D12"/>
    <w:rsid w:val="00BD5043"/>
    <w:rsid w:val="00BD6725"/>
    <w:rsid w:val="00BD68BE"/>
    <w:rsid w:val="00BD6F73"/>
    <w:rsid w:val="00BD7835"/>
    <w:rsid w:val="00BD7BD6"/>
    <w:rsid w:val="00BD7F01"/>
    <w:rsid w:val="00BE0BC5"/>
    <w:rsid w:val="00BE0CC7"/>
    <w:rsid w:val="00BE1A56"/>
    <w:rsid w:val="00BE3637"/>
    <w:rsid w:val="00BE3AB3"/>
    <w:rsid w:val="00BE4714"/>
    <w:rsid w:val="00BE5436"/>
    <w:rsid w:val="00BE5B82"/>
    <w:rsid w:val="00BE5FE6"/>
    <w:rsid w:val="00BE63A1"/>
    <w:rsid w:val="00BE7504"/>
    <w:rsid w:val="00BF0CA8"/>
    <w:rsid w:val="00BF17BB"/>
    <w:rsid w:val="00BF17C5"/>
    <w:rsid w:val="00BF1F6F"/>
    <w:rsid w:val="00BF29A1"/>
    <w:rsid w:val="00BF2E67"/>
    <w:rsid w:val="00BF31A6"/>
    <w:rsid w:val="00BF38C1"/>
    <w:rsid w:val="00BF4B2E"/>
    <w:rsid w:val="00BF57F9"/>
    <w:rsid w:val="00BF5F0C"/>
    <w:rsid w:val="00BF5FD4"/>
    <w:rsid w:val="00BF6834"/>
    <w:rsid w:val="00BF6989"/>
    <w:rsid w:val="00BF6CF2"/>
    <w:rsid w:val="00BF753F"/>
    <w:rsid w:val="00BF7D64"/>
    <w:rsid w:val="00BF7EB0"/>
    <w:rsid w:val="00C00B62"/>
    <w:rsid w:val="00C014D5"/>
    <w:rsid w:val="00C01565"/>
    <w:rsid w:val="00C01B93"/>
    <w:rsid w:val="00C0292C"/>
    <w:rsid w:val="00C02DCA"/>
    <w:rsid w:val="00C03B18"/>
    <w:rsid w:val="00C03D07"/>
    <w:rsid w:val="00C04199"/>
    <w:rsid w:val="00C0426A"/>
    <w:rsid w:val="00C04C01"/>
    <w:rsid w:val="00C053F9"/>
    <w:rsid w:val="00C057EF"/>
    <w:rsid w:val="00C05A46"/>
    <w:rsid w:val="00C05BDB"/>
    <w:rsid w:val="00C05ED1"/>
    <w:rsid w:val="00C06A31"/>
    <w:rsid w:val="00C06C72"/>
    <w:rsid w:val="00C1008B"/>
    <w:rsid w:val="00C11503"/>
    <w:rsid w:val="00C116DC"/>
    <w:rsid w:val="00C12725"/>
    <w:rsid w:val="00C13019"/>
    <w:rsid w:val="00C133DC"/>
    <w:rsid w:val="00C13865"/>
    <w:rsid w:val="00C20075"/>
    <w:rsid w:val="00C2037A"/>
    <w:rsid w:val="00C20C16"/>
    <w:rsid w:val="00C211CA"/>
    <w:rsid w:val="00C21B6E"/>
    <w:rsid w:val="00C22296"/>
    <w:rsid w:val="00C233EC"/>
    <w:rsid w:val="00C23A7A"/>
    <w:rsid w:val="00C2415E"/>
    <w:rsid w:val="00C24872"/>
    <w:rsid w:val="00C25A9A"/>
    <w:rsid w:val="00C265D1"/>
    <w:rsid w:val="00C26AD2"/>
    <w:rsid w:val="00C26B18"/>
    <w:rsid w:val="00C27BD2"/>
    <w:rsid w:val="00C3018E"/>
    <w:rsid w:val="00C30400"/>
    <w:rsid w:val="00C309ED"/>
    <w:rsid w:val="00C30D57"/>
    <w:rsid w:val="00C31271"/>
    <w:rsid w:val="00C31385"/>
    <w:rsid w:val="00C319A3"/>
    <w:rsid w:val="00C31EE9"/>
    <w:rsid w:val="00C31F82"/>
    <w:rsid w:val="00C32056"/>
    <w:rsid w:val="00C33608"/>
    <w:rsid w:val="00C3436C"/>
    <w:rsid w:val="00C34BF0"/>
    <w:rsid w:val="00C34C98"/>
    <w:rsid w:val="00C34ED3"/>
    <w:rsid w:val="00C34F44"/>
    <w:rsid w:val="00C35708"/>
    <w:rsid w:val="00C35DA2"/>
    <w:rsid w:val="00C365C6"/>
    <w:rsid w:val="00C36FAB"/>
    <w:rsid w:val="00C403E4"/>
    <w:rsid w:val="00C4045E"/>
    <w:rsid w:val="00C41885"/>
    <w:rsid w:val="00C418E4"/>
    <w:rsid w:val="00C41B25"/>
    <w:rsid w:val="00C421B1"/>
    <w:rsid w:val="00C43B78"/>
    <w:rsid w:val="00C444B1"/>
    <w:rsid w:val="00C44824"/>
    <w:rsid w:val="00C44D2C"/>
    <w:rsid w:val="00C44D67"/>
    <w:rsid w:val="00C4510F"/>
    <w:rsid w:val="00C4551B"/>
    <w:rsid w:val="00C4577E"/>
    <w:rsid w:val="00C45AE7"/>
    <w:rsid w:val="00C45FDA"/>
    <w:rsid w:val="00C46E2F"/>
    <w:rsid w:val="00C4729D"/>
    <w:rsid w:val="00C474F2"/>
    <w:rsid w:val="00C47599"/>
    <w:rsid w:val="00C47BF2"/>
    <w:rsid w:val="00C50198"/>
    <w:rsid w:val="00C50EED"/>
    <w:rsid w:val="00C50F59"/>
    <w:rsid w:val="00C5173C"/>
    <w:rsid w:val="00C51BCB"/>
    <w:rsid w:val="00C52A8F"/>
    <w:rsid w:val="00C52EB0"/>
    <w:rsid w:val="00C52FE8"/>
    <w:rsid w:val="00C53463"/>
    <w:rsid w:val="00C53C1C"/>
    <w:rsid w:val="00C5403C"/>
    <w:rsid w:val="00C54105"/>
    <w:rsid w:val="00C55999"/>
    <w:rsid w:val="00C56E15"/>
    <w:rsid w:val="00C5704D"/>
    <w:rsid w:val="00C5782D"/>
    <w:rsid w:val="00C578F0"/>
    <w:rsid w:val="00C60F99"/>
    <w:rsid w:val="00C6194D"/>
    <w:rsid w:val="00C619F3"/>
    <w:rsid w:val="00C61B19"/>
    <w:rsid w:val="00C62053"/>
    <w:rsid w:val="00C62177"/>
    <w:rsid w:val="00C6243D"/>
    <w:rsid w:val="00C631F5"/>
    <w:rsid w:val="00C63EFF"/>
    <w:rsid w:val="00C64B66"/>
    <w:rsid w:val="00C65366"/>
    <w:rsid w:val="00C65728"/>
    <w:rsid w:val="00C65C00"/>
    <w:rsid w:val="00C65D2F"/>
    <w:rsid w:val="00C666F2"/>
    <w:rsid w:val="00C66D6D"/>
    <w:rsid w:val="00C677E1"/>
    <w:rsid w:val="00C67A80"/>
    <w:rsid w:val="00C70567"/>
    <w:rsid w:val="00C70C37"/>
    <w:rsid w:val="00C71689"/>
    <w:rsid w:val="00C71F83"/>
    <w:rsid w:val="00C7248F"/>
    <w:rsid w:val="00C73273"/>
    <w:rsid w:val="00C738F8"/>
    <w:rsid w:val="00C73D61"/>
    <w:rsid w:val="00C746D1"/>
    <w:rsid w:val="00C761ED"/>
    <w:rsid w:val="00C7668E"/>
    <w:rsid w:val="00C7683D"/>
    <w:rsid w:val="00C800F5"/>
    <w:rsid w:val="00C80EF3"/>
    <w:rsid w:val="00C80EFE"/>
    <w:rsid w:val="00C810AD"/>
    <w:rsid w:val="00C81F11"/>
    <w:rsid w:val="00C824CB"/>
    <w:rsid w:val="00C83353"/>
    <w:rsid w:val="00C83436"/>
    <w:rsid w:val="00C83618"/>
    <w:rsid w:val="00C83E5B"/>
    <w:rsid w:val="00C8502E"/>
    <w:rsid w:val="00C85095"/>
    <w:rsid w:val="00C8593D"/>
    <w:rsid w:val="00C86042"/>
    <w:rsid w:val="00C86AA1"/>
    <w:rsid w:val="00C87157"/>
    <w:rsid w:val="00C90960"/>
    <w:rsid w:val="00C9105E"/>
    <w:rsid w:val="00C926FD"/>
    <w:rsid w:val="00C93C52"/>
    <w:rsid w:val="00C94DDA"/>
    <w:rsid w:val="00C9527C"/>
    <w:rsid w:val="00C95DB7"/>
    <w:rsid w:val="00C96F41"/>
    <w:rsid w:val="00C971AE"/>
    <w:rsid w:val="00CA146A"/>
    <w:rsid w:val="00CA274D"/>
    <w:rsid w:val="00CA2B14"/>
    <w:rsid w:val="00CA2C28"/>
    <w:rsid w:val="00CA3177"/>
    <w:rsid w:val="00CA3514"/>
    <w:rsid w:val="00CA35F6"/>
    <w:rsid w:val="00CA484B"/>
    <w:rsid w:val="00CA5033"/>
    <w:rsid w:val="00CA5AC2"/>
    <w:rsid w:val="00CA5B11"/>
    <w:rsid w:val="00CA6CBA"/>
    <w:rsid w:val="00CB00CD"/>
    <w:rsid w:val="00CB01F9"/>
    <w:rsid w:val="00CB03A9"/>
    <w:rsid w:val="00CB1480"/>
    <w:rsid w:val="00CB39C3"/>
    <w:rsid w:val="00CB41E5"/>
    <w:rsid w:val="00CB44F0"/>
    <w:rsid w:val="00CB525D"/>
    <w:rsid w:val="00CB619E"/>
    <w:rsid w:val="00CB70C1"/>
    <w:rsid w:val="00CB7232"/>
    <w:rsid w:val="00CB7476"/>
    <w:rsid w:val="00CC0D0A"/>
    <w:rsid w:val="00CC1117"/>
    <w:rsid w:val="00CC1167"/>
    <w:rsid w:val="00CC25CF"/>
    <w:rsid w:val="00CC2690"/>
    <w:rsid w:val="00CC2C4A"/>
    <w:rsid w:val="00CC3469"/>
    <w:rsid w:val="00CC351D"/>
    <w:rsid w:val="00CC3D67"/>
    <w:rsid w:val="00CC4B02"/>
    <w:rsid w:val="00CC57B6"/>
    <w:rsid w:val="00CC59D9"/>
    <w:rsid w:val="00CC5F9A"/>
    <w:rsid w:val="00CC6F23"/>
    <w:rsid w:val="00CC71E7"/>
    <w:rsid w:val="00CC7CDD"/>
    <w:rsid w:val="00CD0052"/>
    <w:rsid w:val="00CD0671"/>
    <w:rsid w:val="00CD0867"/>
    <w:rsid w:val="00CD2902"/>
    <w:rsid w:val="00CD295A"/>
    <w:rsid w:val="00CD297C"/>
    <w:rsid w:val="00CD2E24"/>
    <w:rsid w:val="00CD36B2"/>
    <w:rsid w:val="00CD4DAE"/>
    <w:rsid w:val="00CD5FBD"/>
    <w:rsid w:val="00CD611D"/>
    <w:rsid w:val="00CD64BA"/>
    <w:rsid w:val="00CD7116"/>
    <w:rsid w:val="00CD7328"/>
    <w:rsid w:val="00CD7512"/>
    <w:rsid w:val="00CD7C25"/>
    <w:rsid w:val="00CE03A1"/>
    <w:rsid w:val="00CE0436"/>
    <w:rsid w:val="00CE0A04"/>
    <w:rsid w:val="00CE0DCB"/>
    <w:rsid w:val="00CE1B20"/>
    <w:rsid w:val="00CE2170"/>
    <w:rsid w:val="00CE220B"/>
    <w:rsid w:val="00CE373B"/>
    <w:rsid w:val="00CE373F"/>
    <w:rsid w:val="00CE4F7B"/>
    <w:rsid w:val="00CE6366"/>
    <w:rsid w:val="00CE706D"/>
    <w:rsid w:val="00CE7C14"/>
    <w:rsid w:val="00CE7FB9"/>
    <w:rsid w:val="00CF0774"/>
    <w:rsid w:val="00CF0DCA"/>
    <w:rsid w:val="00CF0EFE"/>
    <w:rsid w:val="00CF150A"/>
    <w:rsid w:val="00CF1DF9"/>
    <w:rsid w:val="00CF245A"/>
    <w:rsid w:val="00CF2AA5"/>
    <w:rsid w:val="00CF2D17"/>
    <w:rsid w:val="00CF3643"/>
    <w:rsid w:val="00CF453C"/>
    <w:rsid w:val="00CF4B5A"/>
    <w:rsid w:val="00CF5E27"/>
    <w:rsid w:val="00CF5FB8"/>
    <w:rsid w:val="00CF61B5"/>
    <w:rsid w:val="00CF64D9"/>
    <w:rsid w:val="00CF65E2"/>
    <w:rsid w:val="00CF748E"/>
    <w:rsid w:val="00CF7ABA"/>
    <w:rsid w:val="00CF7C2E"/>
    <w:rsid w:val="00D00406"/>
    <w:rsid w:val="00D01653"/>
    <w:rsid w:val="00D01894"/>
    <w:rsid w:val="00D01B8C"/>
    <w:rsid w:val="00D02C58"/>
    <w:rsid w:val="00D02F46"/>
    <w:rsid w:val="00D030A4"/>
    <w:rsid w:val="00D035E6"/>
    <w:rsid w:val="00D045A2"/>
    <w:rsid w:val="00D04B5E"/>
    <w:rsid w:val="00D04D5F"/>
    <w:rsid w:val="00D052B5"/>
    <w:rsid w:val="00D054F6"/>
    <w:rsid w:val="00D05C67"/>
    <w:rsid w:val="00D068EF"/>
    <w:rsid w:val="00D079E5"/>
    <w:rsid w:val="00D10059"/>
    <w:rsid w:val="00D10DBC"/>
    <w:rsid w:val="00D11733"/>
    <w:rsid w:val="00D11ADE"/>
    <w:rsid w:val="00D11ADF"/>
    <w:rsid w:val="00D127FB"/>
    <w:rsid w:val="00D1286C"/>
    <w:rsid w:val="00D128C8"/>
    <w:rsid w:val="00D12C3D"/>
    <w:rsid w:val="00D1326B"/>
    <w:rsid w:val="00D13983"/>
    <w:rsid w:val="00D13F73"/>
    <w:rsid w:val="00D14308"/>
    <w:rsid w:val="00D14B24"/>
    <w:rsid w:val="00D1528E"/>
    <w:rsid w:val="00D15BCA"/>
    <w:rsid w:val="00D15E7B"/>
    <w:rsid w:val="00D16417"/>
    <w:rsid w:val="00D16D53"/>
    <w:rsid w:val="00D175DD"/>
    <w:rsid w:val="00D17631"/>
    <w:rsid w:val="00D17858"/>
    <w:rsid w:val="00D204A3"/>
    <w:rsid w:val="00D2058F"/>
    <w:rsid w:val="00D20776"/>
    <w:rsid w:val="00D21A64"/>
    <w:rsid w:val="00D23834"/>
    <w:rsid w:val="00D24C66"/>
    <w:rsid w:val="00D24C6A"/>
    <w:rsid w:val="00D24C93"/>
    <w:rsid w:val="00D251E0"/>
    <w:rsid w:val="00D2564B"/>
    <w:rsid w:val="00D27239"/>
    <w:rsid w:val="00D27420"/>
    <w:rsid w:val="00D2795E"/>
    <w:rsid w:val="00D27D79"/>
    <w:rsid w:val="00D27EEC"/>
    <w:rsid w:val="00D316C2"/>
    <w:rsid w:val="00D31D08"/>
    <w:rsid w:val="00D31E65"/>
    <w:rsid w:val="00D320C6"/>
    <w:rsid w:val="00D3299A"/>
    <w:rsid w:val="00D32D16"/>
    <w:rsid w:val="00D33DE3"/>
    <w:rsid w:val="00D33EDB"/>
    <w:rsid w:val="00D34592"/>
    <w:rsid w:val="00D34687"/>
    <w:rsid w:val="00D35845"/>
    <w:rsid w:val="00D36CF3"/>
    <w:rsid w:val="00D36E8D"/>
    <w:rsid w:val="00D37330"/>
    <w:rsid w:val="00D379C1"/>
    <w:rsid w:val="00D37A48"/>
    <w:rsid w:val="00D40416"/>
    <w:rsid w:val="00D4147C"/>
    <w:rsid w:val="00D42C14"/>
    <w:rsid w:val="00D42DE8"/>
    <w:rsid w:val="00D43D80"/>
    <w:rsid w:val="00D44162"/>
    <w:rsid w:val="00D44E74"/>
    <w:rsid w:val="00D454E2"/>
    <w:rsid w:val="00D45BC4"/>
    <w:rsid w:val="00D46B76"/>
    <w:rsid w:val="00D470EA"/>
    <w:rsid w:val="00D47ACC"/>
    <w:rsid w:val="00D502E9"/>
    <w:rsid w:val="00D50975"/>
    <w:rsid w:val="00D50E2F"/>
    <w:rsid w:val="00D53A4D"/>
    <w:rsid w:val="00D53E4C"/>
    <w:rsid w:val="00D53F8C"/>
    <w:rsid w:val="00D551D2"/>
    <w:rsid w:val="00D5541C"/>
    <w:rsid w:val="00D55ADF"/>
    <w:rsid w:val="00D55DE2"/>
    <w:rsid w:val="00D560CD"/>
    <w:rsid w:val="00D5712C"/>
    <w:rsid w:val="00D600BB"/>
    <w:rsid w:val="00D61406"/>
    <w:rsid w:val="00D622C3"/>
    <w:rsid w:val="00D6367C"/>
    <w:rsid w:val="00D64A9D"/>
    <w:rsid w:val="00D6542C"/>
    <w:rsid w:val="00D66AC0"/>
    <w:rsid w:val="00D66E4A"/>
    <w:rsid w:val="00D67C81"/>
    <w:rsid w:val="00D707F0"/>
    <w:rsid w:val="00D70DCE"/>
    <w:rsid w:val="00D70F32"/>
    <w:rsid w:val="00D71777"/>
    <w:rsid w:val="00D71C1F"/>
    <w:rsid w:val="00D7226A"/>
    <w:rsid w:val="00D73013"/>
    <w:rsid w:val="00D7339A"/>
    <w:rsid w:val="00D734D2"/>
    <w:rsid w:val="00D73E69"/>
    <w:rsid w:val="00D74169"/>
    <w:rsid w:val="00D741EA"/>
    <w:rsid w:val="00D74B8D"/>
    <w:rsid w:val="00D75480"/>
    <w:rsid w:val="00D75824"/>
    <w:rsid w:val="00D75C07"/>
    <w:rsid w:val="00D762AD"/>
    <w:rsid w:val="00D778D1"/>
    <w:rsid w:val="00D8008E"/>
    <w:rsid w:val="00D8066A"/>
    <w:rsid w:val="00D81060"/>
    <w:rsid w:val="00D81C74"/>
    <w:rsid w:val="00D83259"/>
    <w:rsid w:val="00D834C7"/>
    <w:rsid w:val="00D83668"/>
    <w:rsid w:val="00D83F66"/>
    <w:rsid w:val="00D84912"/>
    <w:rsid w:val="00D84CB4"/>
    <w:rsid w:val="00D84F77"/>
    <w:rsid w:val="00D85533"/>
    <w:rsid w:val="00D85844"/>
    <w:rsid w:val="00D86918"/>
    <w:rsid w:val="00D87709"/>
    <w:rsid w:val="00D87E44"/>
    <w:rsid w:val="00D87F24"/>
    <w:rsid w:val="00D905EA"/>
    <w:rsid w:val="00D90B35"/>
    <w:rsid w:val="00D90F7A"/>
    <w:rsid w:val="00D91205"/>
    <w:rsid w:val="00D91890"/>
    <w:rsid w:val="00D91A0A"/>
    <w:rsid w:val="00D928B8"/>
    <w:rsid w:val="00D92E26"/>
    <w:rsid w:val="00D93429"/>
    <w:rsid w:val="00D939E8"/>
    <w:rsid w:val="00D940A9"/>
    <w:rsid w:val="00D94147"/>
    <w:rsid w:val="00D94ACE"/>
    <w:rsid w:val="00D9509C"/>
    <w:rsid w:val="00D965FC"/>
    <w:rsid w:val="00D9691C"/>
    <w:rsid w:val="00D96A35"/>
    <w:rsid w:val="00D96A62"/>
    <w:rsid w:val="00D9704D"/>
    <w:rsid w:val="00D970FD"/>
    <w:rsid w:val="00D9723D"/>
    <w:rsid w:val="00DA03AB"/>
    <w:rsid w:val="00DA0B07"/>
    <w:rsid w:val="00DA0B4F"/>
    <w:rsid w:val="00DA49A3"/>
    <w:rsid w:val="00DA4B35"/>
    <w:rsid w:val="00DA5354"/>
    <w:rsid w:val="00DA5E5F"/>
    <w:rsid w:val="00DA602F"/>
    <w:rsid w:val="00DA72E7"/>
    <w:rsid w:val="00DA7FB3"/>
    <w:rsid w:val="00DB1386"/>
    <w:rsid w:val="00DB1AEA"/>
    <w:rsid w:val="00DB1AF7"/>
    <w:rsid w:val="00DB2241"/>
    <w:rsid w:val="00DB24B3"/>
    <w:rsid w:val="00DB2BA4"/>
    <w:rsid w:val="00DB2F39"/>
    <w:rsid w:val="00DB32C1"/>
    <w:rsid w:val="00DB3BD7"/>
    <w:rsid w:val="00DB4340"/>
    <w:rsid w:val="00DB46AD"/>
    <w:rsid w:val="00DB4B29"/>
    <w:rsid w:val="00DB508D"/>
    <w:rsid w:val="00DB5DC6"/>
    <w:rsid w:val="00DB6649"/>
    <w:rsid w:val="00DC0164"/>
    <w:rsid w:val="00DC0D41"/>
    <w:rsid w:val="00DC0FF9"/>
    <w:rsid w:val="00DC1FF1"/>
    <w:rsid w:val="00DC20B5"/>
    <w:rsid w:val="00DC253A"/>
    <w:rsid w:val="00DC2E45"/>
    <w:rsid w:val="00DC3040"/>
    <w:rsid w:val="00DC41EA"/>
    <w:rsid w:val="00DC4F10"/>
    <w:rsid w:val="00DC5E3E"/>
    <w:rsid w:val="00DC62D1"/>
    <w:rsid w:val="00DC6A40"/>
    <w:rsid w:val="00DC6D8D"/>
    <w:rsid w:val="00DC6E8F"/>
    <w:rsid w:val="00DC6F2E"/>
    <w:rsid w:val="00DC7B78"/>
    <w:rsid w:val="00DC7EC1"/>
    <w:rsid w:val="00DD00D4"/>
    <w:rsid w:val="00DD0842"/>
    <w:rsid w:val="00DD0933"/>
    <w:rsid w:val="00DD0E6C"/>
    <w:rsid w:val="00DD131A"/>
    <w:rsid w:val="00DD19B4"/>
    <w:rsid w:val="00DD1F17"/>
    <w:rsid w:val="00DD2039"/>
    <w:rsid w:val="00DD3991"/>
    <w:rsid w:val="00DD3DB7"/>
    <w:rsid w:val="00DD4D90"/>
    <w:rsid w:val="00DD4F5E"/>
    <w:rsid w:val="00DD5052"/>
    <w:rsid w:val="00DD565C"/>
    <w:rsid w:val="00DD6707"/>
    <w:rsid w:val="00DD6AB1"/>
    <w:rsid w:val="00DE080C"/>
    <w:rsid w:val="00DE0B04"/>
    <w:rsid w:val="00DE194A"/>
    <w:rsid w:val="00DE3168"/>
    <w:rsid w:val="00DE384E"/>
    <w:rsid w:val="00DE3E0D"/>
    <w:rsid w:val="00DE40D4"/>
    <w:rsid w:val="00DE4D18"/>
    <w:rsid w:val="00DE50C4"/>
    <w:rsid w:val="00DE58F1"/>
    <w:rsid w:val="00DE5EFA"/>
    <w:rsid w:val="00DE6239"/>
    <w:rsid w:val="00DE6257"/>
    <w:rsid w:val="00DE6B3F"/>
    <w:rsid w:val="00DE6B9F"/>
    <w:rsid w:val="00DE6CB5"/>
    <w:rsid w:val="00DE7503"/>
    <w:rsid w:val="00DE76C4"/>
    <w:rsid w:val="00DE793E"/>
    <w:rsid w:val="00DE7E97"/>
    <w:rsid w:val="00DF0545"/>
    <w:rsid w:val="00DF14F6"/>
    <w:rsid w:val="00DF3246"/>
    <w:rsid w:val="00DF32B7"/>
    <w:rsid w:val="00DF3597"/>
    <w:rsid w:val="00DF3E02"/>
    <w:rsid w:val="00DF3FFC"/>
    <w:rsid w:val="00DF45A3"/>
    <w:rsid w:val="00DF526D"/>
    <w:rsid w:val="00DF5301"/>
    <w:rsid w:val="00DF5F15"/>
    <w:rsid w:val="00DF68B7"/>
    <w:rsid w:val="00DF6BC5"/>
    <w:rsid w:val="00DF74EF"/>
    <w:rsid w:val="00DF7708"/>
    <w:rsid w:val="00DF7BAF"/>
    <w:rsid w:val="00DF7F53"/>
    <w:rsid w:val="00E00DA4"/>
    <w:rsid w:val="00E00EFD"/>
    <w:rsid w:val="00E00F9C"/>
    <w:rsid w:val="00E010B1"/>
    <w:rsid w:val="00E01156"/>
    <w:rsid w:val="00E012A6"/>
    <w:rsid w:val="00E01810"/>
    <w:rsid w:val="00E01B29"/>
    <w:rsid w:val="00E01B42"/>
    <w:rsid w:val="00E025D9"/>
    <w:rsid w:val="00E02AEB"/>
    <w:rsid w:val="00E02B1B"/>
    <w:rsid w:val="00E055C2"/>
    <w:rsid w:val="00E05F70"/>
    <w:rsid w:val="00E0609B"/>
    <w:rsid w:val="00E066D4"/>
    <w:rsid w:val="00E06957"/>
    <w:rsid w:val="00E07F01"/>
    <w:rsid w:val="00E07FC7"/>
    <w:rsid w:val="00E107F0"/>
    <w:rsid w:val="00E108E5"/>
    <w:rsid w:val="00E116BB"/>
    <w:rsid w:val="00E11C64"/>
    <w:rsid w:val="00E1211E"/>
    <w:rsid w:val="00E121D9"/>
    <w:rsid w:val="00E121ED"/>
    <w:rsid w:val="00E131DD"/>
    <w:rsid w:val="00E132FB"/>
    <w:rsid w:val="00E13375"/>
    <w:rsid w:val="00E1370D"/>
    <w:rsid w:val="00E1393D"/>
    <w:rsid w:val="00E14420"/>
    <w:rsid w:val="00E14526"/>
    <w:rsid w:val="00E1466E"/>
    <w:rsid w:val="00E15A78"/>
    <w:rsid w:val="00E15DD2"/>
    <w:rsid w:val="00E162AC"/>
    <w:rsid w:val="00E1630F"/>
    <w:rsid w:val="00E16ADB"/>
    <w:rsid w:val="00E16AE6"/>
    <w:rsid w:val="00E16F42"/>
    <w:rsid w:val="00E1704B"/>
    <w:rsid w:val="00E17984"/>
    <w:rsid w:val="00E2205A"/>
    <w:rsid w:val="00E22577"/>
    <w:rsid w:val="00E2278A"/>
    <w:rsid w:val="00E22AA3"/>
    <w:rsid w:val="00E2374C"/>
    <w:rsid w:val="00E23BFF"/>
    <w:rsid w:val="00E23D30"/>
    <w:rsid w:val="00E24C7B"/>
    <w:rsid w:val="00E25033"/>
    <w:rsid w:val="00E2544C"/>
    <w:rsid w:val="00E2562B"/>
    <w:rsid w:val="00E2569E"/>
    <w:rsid w:val="00E25704"/>
    <w:rsid w:val="00E2763C"/>
    <w:rsid w:val="00E277BB"/>
    <w:rsid w:val="00E27C8B"/>
    <w:rsid w:val="00E31A3E"/>
    <w:rsid w:val="00E320F4"/>
    <w:rsid w:val="00E3230C"/>
    <w:rsid w:val="00E324D2"/>
    <w:rsid w:val="00E325E2"/>
    <w:rsid w:val="00E3285B"/>
    <w:rsid w:val="00E32D18"/>
    <w:rsid w:val="00E33219"/>
    <w:rsid w:val="00E33B1D"/>
    <w:rsid w:val="00E34E66"/>
    <w:rsid w:val="00E35285"/>
    <w:rsid w:val="00E355AB"/>
    <w:rsid w:val="00E35A7A"/>
    <w:rsid w:val="00E35E53"/>
    <w:rsid w:val="00E3623F"/>
    <w:rsid w:val="00E36B7B"/>
    <w:rsid w:val="00E37123"/>
    <w:rsid w:val="00E37161"/>
    <w:rsid w:val="00E37D82"/>
    <w:rsid w:val="00E37E98"/>
    <w:rsid w:val="00E409BB"/>
    <w:rsid w:val="00E40B19"/>
    <w:rsid w:val="00E40C64"/>
    <w:rsid w:val="00E40D1E"/>
    <w:rsid w:val="00E413DC"/>
    <w:rsid w:val="00E418A3"/>
    <w:rsid w:val="00E43660"/>
    <w:rsid w:val="00E44AA9"/>
    <w:rsid w:val="00E4547A"/>
    <w:rsid w:val="00E45718"/>
    <w:rsid w:val="00E462D0"/>
    <w:rsid w:val="00E46CA8"/>
    <w:rsid w:val="00E50C69"/>
    <w:rsid w:val="00E5108B"/>
    <w:rsid w:val="00E515E3"/>
    <w:rsid w:val="00E51B60"/>
    <w:rsid w:val="00E5208C"/>
    <w:rsid w:val="00E522AB"/>
    <w:rsid w:val="00E52B7A"/>
    <w:rsid w:val="00E52E90"/>
    <w:rsid w:val="00E530EC"/>
    <w:rsid w:val="00E5345B"/>
    <w:rsid w:val="00E541FC"/>
    <w:rsid w:val="00E54626"/>
    <w:rsid w:val="00E552E2"/>
    <w:rsid w:val="00E55549"/>
    <w:rsid w:val="00E55A48"/>
    <w:rsid w:val="00E55DA9"/>
    <w:rsid w:val="00E5609C"/>
    <w:rsid w:val="00E5636F"/>
    <w:rsid w:val="00E5684D"/>
    <w:rsid w:val="00E569E0"/>
    <w:rsid w:val="00E56C19"/>
    <w:rsid w:val="00E56C9C"/>
    <w:rsid w:val="00E57574"/>
    <w:rsid w:val="00E6077E"/>
    <w:rsid w:val="00E60DCF"/>
    <w:rsid w:val="00E60E57"/>
    <w:rsid w:val="00E61472"/>
    <w:rsid w:val="00E616A9"/>
    <w:rsid w:val="00E6211A"/>
    <w:rsid w:val="00E6263C"/>
    <w:rsid w:val="00E626E8"/>
    <w:rsid w:val="00E62717"/>
    <w:rsid w:val="00E6284D"/>
    <w:rsid w:val="00E62D8D"/>
    <w:rsid w:val="00E636D4"/>
    <w:rsid w:val="00E638D6"/>
    <w:rsid w:val="00E64766"/>
    <w:rsid w:val="00E663E1"/>
    <w:rsid w:val="00E66D27"/>
    <w:rsid w:val="00E67550"/>
    <w:rsid w:val="00E67725"/>
    <w:rsid w:val="00E67ED5"/>
    <w:rsid w:val="00E70360"/>
    <w:rsid w:val="00E707B3"/>
    <w:rsid w:val="00E707F1"/>
    <w:rsid w:val="00E70A03"/>
    <w:rsid w:val="00E70C71"/>
    <w:rsid w:val="00E7105B"/>
    <w:rsid w:val="00E7166C"/>
    <w:rsid w:val="00E7182E"/>
    <w:rsid w:val="00E7201B"/>
    <w:rsid w:val="00E728E4"/>
    <w:rsid w:val="00E72AF5"/>
    <w:rsid w:val="00E72F52"/>
    <w:rsid w:val="00E73CB0"/>
    <w:rsid w:val="00E73D9D"/>
    <w:rsid w:val="00E74091"/>
    <w:rsid w:val="00E7475D"/>
    <w:rsid w:val="00E75004"/>
    <w:rsid w:val="00E753F7"/>
    <w:rsid w:val="00E75512"/>
    <w:rsid w:val="00E77128"/>
    <w:rsid w:val="00E771A6"/>
    <w:rsid w:val="00E775FA"/>
    <w:rsid w:val="00E77F8B"/>
    <w:rsid w:val="00E80B65"/>
    <w:rsid w:val="00E80D81"/>
    <w:rsid w:val="00E8142B"/>
    <w:rsid w:val="00E81FD0"/>
    <w:rsid w:val="00E8203A"/>
    <w:rsid w:val="00E82628"/>
    <w:rsid w:val="00E83B5C"/>
    <w:rsid w:val="00E84518"/>
    <w:rsid w:val="00E861C3"/>
    <w:rsid w:val="00E8647A"/>
    <w:rsid w:val="00E8668E"/>
    <w:rsid w:val="00E87D23"/>
    <w:rsid w:val="00E9069F"/>
    <w:rsid w:val="00E90735"/>
    <w:rsid w:val="00E90898"/>
    <w:rsid w:val="00E9179E"/>
    <w:rsid w:val="00E92067"/>
    <w:rsid w:val="00E92B40"/>
    <w:rsid w:val="00E92D9D"/>
    <w:rsid w:val="00E93CE4"/>
    <w:rsid w:val="00E93FE6"/>
    <w:rsid w:val="00E958CC"/>
    <w:rsid w:val="00E95949"/>
    <w:rsid w:val="00E960A2"/>
    <w:rsid w:val="00E966C8"/>
    <w:rsid w:val="00E968CC"/>
    <w:rsid w:val="00E9695E"/>
    <w:rsid w:val="00E96DAF"/>
    <w:rsid w:val="00E971CD"/>
    <w:rsid w:val="00E9732F"/>
    <w:rsid w:val="00E97905"/>
    <w:rsid w:val="00E97C7C"/>
    <w:rsid w:val="00EA0699"/>
    <w:rsid w:val="00EA0856"/>
    <w:rsid w:val="00EA08A8"/>
    <w:rsid w:val="00EA0B83"/>
    <w:rsid w:val="00EA233A"/>
    <w:rsid w:val="00EA2973"/>
    <w:rsid w:val="00EA31D3"/>
    <w:rsid w:val="00EA36ED"/>
    <w:rsid w:val="00EA3DA9"/>
    <w:rsid w:val="00EA3F0E"/>
    <w:rsid w:val="00EA508D"/>
    <w:rsid w:val="00EA5720"/>
    <w:rsid w:val="00EA5F35"/>
    <w:rsid w:val="00EA6091"/>
    <w:rsid w:val="00EB0326"/>
    <w:rsid w:val="00EB0987"/>
    <w:rsid w:val="00EB0D5C"/>
    <w:rsid w:val="00EB17DC"/>
    <w:rsid w:val="00EB18AB"/>
    <w:rsid w:val="00EB21D7"/>
    <w:rsid w:val="00EB23E8"/>
    <w:rsid w:val="00EB2481"/>
    <w:rsid w:val="00EB25D9"/>
    <w:rsid w:val="00EB2E8F"/>
    <w:rsid w:val="00EB348E"/>
    <w:rsid w:val="00EB3CC6"/>
    <w:rsid w:val="00EB3FE1"/>
    <w:rsid w:val="00EB45FE"/>
    <w:rsid w:val="00EB467A"/>
    <w:rsid w:val="00EB4FCE"/>
    <w:rsid w:val="00EB50D6"/>
    <w:rsid w:val="00EB50F5"/>
    <w:rsid w:val="00EB52E3"/>
    <w:rsid w:val="00EB6DE1"/>
    <w:rsid w:val="00EB7359"/>
    <w:rsid w:val="00EB7950"/>
    <w:rsid w:val="00EC0787"/>
    <w:rsid w:val="00EC10F7"/>
    <w:rsid w:val="00EC15AA"/>
    <w:rsid w:val="00EC1815"/>
    <w:rsid w:val="00EC19FE"/>
    <w:rsid w:val="00EC24C4"/>
    <w:rsid w:val="00EC280E"/>
    <w:rsid w:val="00EC336A"/>
    <w:rsid w:val="00EC3509"/>
    <w:rsid w:val="00EC406D"/>
    <w:rsid w:val="00EC4083"/>
    <w:rsid w:val="00EC447B"/>
    <w:rsid w:val="00EC4C89"/>
    <w:rsid w:val="00EC4CE1"/>
    <w:rsid w:val="00EC5560"/>
    <w:rsid w:val="00EC571E"/>
    <w:rsid w:val="00EC5C2A"/>
    <w:rsid w:val="00EC6F99"/>
    <w:rsid w:val="00EC7992"/>
    <w:rsid w:val="00ED0A5D"/>
    <w:rsid w:val="00ED0F66"/>
    <w:rsid w:val="00ED0F87"/>
    <w:rsid w:val="00ED200F"/>
    <w:rsid w:val="00ED3037"/>
    <w:rsid w:val="00ED3AE5"/>
    <w:rsid w:val="00ED3D50"/>
    <w:rsid w:val="00ED3F47"/>
    <w:rsid w:val="00ED4551"/>
    <w:rsid w:val="00ED476F"/>
    <w:rsid w:val="00ED4AFC"/>
    <w:rsid w:val="00ED5183"/>
    <w:rsid w:val="00ED5E4A"/>
    <w:rsid w:val="00ED5E94"/>
    <w:rsid w:val="00ED61E8"/>
    <w:rsid w:val="00ED630C"/>
    <w:rsid w:val="00ED6C28"/>
    <w:rsid w:val="00ED73D6"/>
    <w:rsid w:val="00ED7DE2"/>
    <w:rsid w:val="00ED7EB2"/>
    <w:rsid w:val="00EE0201"/>
    <w:rsid w:val="00EE0DF4"/>
    <w:rsid w:val="00EE1C32"/>
    <w:rsid w:val="00EE1FB0"/>
    <w:rsid w:val="00EE26C9"/>
    <w:rsid w:val="00EE2DB3"/>
    <w:rsid w:val="00EE3856"/>
    <w:rsid w:val="00EE3DC8"/>
    <w:rsid w:val="00EE42A7"/>
    <w:rsid w:val="00EE5167"/>
    <w:rsid w:val="00EE538C"/>
    <w:rsid w:val="00EE5585"/>
    <w:rsid w:val="00EE598F"/>
    <w:rsid w:val="00EE5D76"/>
    <w:rsid w:val="00EE61E6"/>
    <w:rsid w:val="00EE68AE"/>
    <w:rsid w:val="00EE6D73"/>
    <w:rsid w:val="00EE757F"/>
    <w:rsid w:val="00EE7D3D"/>
    <w:rsid w:val="00EF070B"/>
    <w:rsid w:val="00EF08D9"/>
    <w:rsid w:val="00EF0D79"/>
    <w:rsid w:val="00EF122C"/>
    <w:rsid w:val="00EF14DD"/>
    <w:rsid w:val="00EF1F63"/>
    <w:rsid w:val="00EF2220"/>
    <w:rsid w:val="00EF2FC1"/>
    <w:rsid w:val="00EF30D3"/>
    <w:rsid w:val="00EF3F41"/>
    <w:rsid w:val="00EF4569"/>
    <w:rsid w:val="00EF48B1"/>
    <w:rsid w:val="00EF4DE6"/>
    <w:rsid w:val="00EF531A"/>
    <w:rsid w:val="00EF66CF"/>
    <w:rsid w:val="00EF6BCA"/>
    <w:rsid w:val="00EF70B5"/>
    <w:rsid w:val="00EF72E1"/>
    <w:rsid w:val="00EF7B83"/>
    <w:rsid w:val="00F004EF"/>
    <w:rsid w:val="00F00EA5"/>
    <w:rsid w:val="00F0141F"/>
    <w:rsid w:val="00F01D2D"/>
    <w:rsid w:val="00F01DC2"/>
    <w:rsid w:val="00F01F66"/>
    <w:rsid w:val="00F02900"/>
    <w:rsid w:val="00F02D35"/>
    <w:rsid w:val="00F02D53"/>
    <w:rsid w:val="00F03861"/>
    <w:rsid w:val="00F03A6D"/>
    <w:rsid w:val="00F03D60"/>
    <w:rsid w:val="00F04040"/>
    <w:rsid w:val="00F04755"/>
    <w:rsid w:val="00F058EB"/>
    <w:rsid w:val="00F05AAB"/>
    <w:rsid w:val="00F05D50"/>
    <w:rsid w:val="00F05E31"/>
    <w:rsid w:val="00F06313"/>
    <w:rsid w:val="00F06316"/>
    <w:rsid w:val="00F07187"/>
    <w:rsid w:val="00F111B5"/>
    <w:rsid w:val="00F1122D"/>
    <w:rsid w:val="00F11336"/>
    <w:rsid w:val="00F11B1D"/>
    <w:rsid w:val="00F130B6"/>
    <w:rsid w:val="00F13593"/>
    <w:rsid w:val="00F137F4"/>
    <w:rsid w:val="00F13883"/>
    <w:rsid w:val="00F138C4"/>
    <w:rsid w:val="00F13CFA"/>
    <w:rsid w:val="00F141F6"/>
    <w:rsid w:val="00F14315"/>
    <w:rsid w:val="00F14972"/>
    <w:rsid w:val="00F1582C"/>
    <w:rsid w:val="00F16766"/>
    <w:rsid w:val="00F16950"/>
    <w:rsid w:val="00F16AB6"/>
    <w:rsid w:val="00F171A4"/>
    <w:rsid w:val="00F17D73"/>
    <w:rsid w:val="00F2009F"/>
    <w:rsid w:val="00F20136"/>
    <w:rsid w:val="00F20954"/>
    <w:rsid w:val="00F21258"/>
    <w:rsid w:val="00F21B01"/>
    <w:rsid w:val="00F22255"/>
    <w:rsid w:val="00F22E7A"/>
    <w:rsid w:val="00F23080"/>
    <w:rsid w:val="00F238DA"/>
    <w:rsid w:val="00F24A08"/>
    <w:rsid w:val="00F258FB"/>
    <w:rsid w:val="00F25B07"/>
    <w:rsid w:val="00F25B41"/>
    <w:rsid w:val="00F25F37"/>
    <w:rsid w:val="00F25F92"/>
    <w:rsid w:val="00F261B4"/>
    <w:rsid w:val="00F2674B"/>
    <w:rsid w:val="00F2690E"/>
    <w:rsid w:val="00F26B8E"/>
    <w:rsid w:val="00F26F23"/>
    <w:rsid w:val="00F2744B"/>
    <w:rsid w:val="00F27841"/>
    <w:rsid w:val="00F30645"/>
    <w:rsid w:val="00F31429"/>
    <w:rsid w:val="00F31D37"/>
    <w:rsid w:val="00F31EC0"/>
    <w:rsid w:val="00F3203A"/>
    <w:rsid w:val="00F33C88"/>
    <w:rsid w:val="00F33C96"/>
    <w:rsid w:val="00F34A44"/>
    <w:rsid w:val="00F353BC"/>
    <w:rsid w:val="00F356FC"/>
    <w:rsid w:val="00F35775"/>
    <w:rsid w:val="00F3606F"/>
    <w:rsid w:val="00F3626E"/>
    <w:rsid w:val="00F36A06"/>
    <w:rsid w:val="00F36C87"/>
    <w:rsid w:val="00F4162E"/>
    <w:rsid w:val="00F42346"/>
    <w:rsid w:val="00F43DC4"/>
    <w:rsid w:val="00F444EE"/>
    <w:rsid w:val="00F445DA"/>
    <w:rsid w:val="00F455D4"/>
    <w:rsid w:val="00F4583E"/>
    <w:rsid w:val="00F46EEE"/>
    <w:rsid w:val="00F470D9"/>
    <w:rsid w:val="00F474B2"/>
    <w:rsid w:val="00F501BF"/>
    <w:rsid w:val="00F5033F"/>
    <w:rsid w:val="00F51B94"/>
    <w:rsid w:val="00F520B2"/>
    <w:rsid w:val="00F528B2"/>
    <w:rsid w:val="00F52B2C"/>
    <w:rsid w:val="00F535AB"/>
    <w:rsid w:val="00F542EB"/>
    <w:rsid w:val="00F54367"/>
    <w:rsid w:val="00F54A58"/>
    <w:rsid w:val="00F55AAF"/>
    <w:rsid w:val="00F568F7"/>
    <w:rsid w:val="00F56BD0"/>
    <w:rsid w:val="00F56D83"/>
    <w:rsid w:val="00F56F0E"/>
    <w:rsid w:val="00F61502"/>
    <w:rsid w:val="00F616B1"/>
    <w:rsid w:val="00F62DDB"/>
    <w:rsid w:val="00F6306E"/>
    <w:rsid w:val="00F6311B"/>
    <w:rsid w:val="00F6476F"/>
    <w:rsid w:val="00F6484D"/>
    <w:rsid w:val="00F64C55"/>
    <w:rsid w:val="00F64D6F"/>
    <w:rsid w:val="00F664C0"/>
    <w:rsid w:val="00F669E3"/>
    <w:rsid w:val="00F66C0F"/>
    <w:rsid w:val="00F67A71"/>
    <w:rsid w:val="00F703F9"/>
    <w:rsid w:val="00F70571"/>
    <w:rsid w:val="00F70585"/>
    <w:rsid w:val="00F705A3"/>
    <w:rsid w:val="00F70728"/>
    <w:rsid w:val="00F7124D"/>
    <w:rsid w:val="00F71C9E"/>
    <w:rsid w:val="00F71FD4"/>
    <w:rsid w:val="00F722F5"/>
    <w:rsid w:val="00F727B6"/>
    <w:rsid w:val="00F72A81"/>
    <w:rsid w:val="00F72B49"/>
    <w:rsid w:val="00F74744"/>
    <w:rsid w:val="00F754AB"/>
    <w:rsid w:val="00F756D3"/>
    <w:rsid w:val="00F75AB2"/>
    <w:rsid w:val="00F75C4B"/>
    <w:rsid w:val="00F75CAC"/>
    <w:rsid w:val="00F75E8A"/>
    <w:rsid w:val="00F75EAD"/>
    <w:rsid w:val="00F76064"/>
    <w:rsid w:val="00F7775B"/>
    <w:rsid w:val="00F77C9D"/>
    <w:rsid w:val="00F77DAD"/>
    <w:rsid w:val="00F80E78"/>
    <w:rsid w:val="00F81759"/>
    <w:rsid w:val="00F826F5"/>
    <w:rsid w:val="00F82B8B"/>
    <w:rsid w:val="00F839DA"/>
    <w:rsid w:val="00F84ED3"/>
    <w:rsid w:val="00F86EE1"/>
    <w:rsid w:val="00F86FD0"/>
    <w:rsid w:val="00F87132"/>
    <w:rsid w:val="00F9067F"/>
    <w:rsid w:val="00F90687"/>
    <w:rsid w:val="00F909C0"/>
    <w:rsid w:val="00F912B5"/>
    <w:rsid w:val="00F92498"/>
    <w:rsid w:val="00F928F9"/>
    <w:rsid w:val="00F92AF4"/>
    <w:rsid w:val="00F92BC7"/>
    <w:rsid w:val="00F934E3"/>
    <w:rsid w:val="00F93F0D"/>
    <w:rsid w:val="00F9487E"/>
    <w:rsid w:val="00F94D4D"/>
    <w:rsid w:val="00F94DCC"/>
    <w:rsid w:val="00F96283"/>
    <w:rsid w:val="00F9787F"/>
    <w:rsid w:val="00F97B17"/>
    <w:rsid w:val="00FA07C4"/>
    <w:rsid w:val="00FA0EF4"/>
    <w:rsid w:val="00FA19A3"/>
    <w:rsid w:val="00FA262E"/>
    <w:rsid w:val="00FA28A6"/>
    <w:rsid w:val="00FA3002"/>
    <w:rsid w:val="00FA32CA"/>
    <w:rsid w:val="00FA39BE"/>
    <w:rsid w:val="00FA3CE1"/>
    <w:rsid w:val="00FA4AE6"/>
    <w:rsid w:val="00FA562D"/>
    <w:rsid w:val="00FA5F30"/>
    <w:rsid w:val="00FA63D8"/>
    <w:rsid w:val="00FA6484"/>
    <w:rsid w:val="00FA6675"/>
    <w:rsid w:val="00FA6CA4"/>
    <w:rsid w:val="00FB05D2"/>
    <w:rsid w:val="00FB0A70"/>
    <w:rsid w:val="00FB0B06"/>
    <w:rsid w:val="00FB20DF"/>
    <w:rsid w:val="00FB2C7A"/>
    <w:rsid w:val="00FB3485"/>
    <w:rsid w:val="00FB3A4F"/>
    <w:rsid w:val="00FB53FA"/>
    <w:rsid w:val="00FB5761"/>
    <w:rsid w:val="00FB5A82"/>
    <w:rsid w:val="00FB5EB4"/>
    <w:rsid w:val="00FC04B4"/>
    <w:rsid w:val="00FC0572"/>
    <w:rsid w:val="00FC088F"/>
    <w:rsid w:val="00FC1211"/>
    <w:rsid w:val="00FC277B"/>
    <w:rsid w:val="00FC350B"/>
    <w:rsid w:val="00FC38D3"/>
    <w:rsid w:val="00FC3E14"/>
    <w:rsid w:val="00FC4060"/>
    <w:rsid w:val="00FC485E"/>
    <w:rsid w:val="00FC58D1"/>
    <w:rsid w:val="00FC6953"/>
    <w:rsid w:val="00FC69BD"/>
    <w:rsid w:val="00FC6B77"/>
    <w:rsid w:val="00FC6F55"/>
    <w:rsid w:val="00FC7CCB"/>
    <w:rsid w:val="00FD0780"/>
    <w:rsid w:val="00FD1174"/>
    <w:rsid w:val="00FD138F"/>
    <w:rsid w:val="00FD14B4"/>
    <w:rsid w:val="00FD14CB"/>
    <w:rsid w:val="00FD1665"/>
    <w:rsid w:val="00FD1E50"/>
    <w:rsid w:val="00FD21FA"/>
    <w:rsid w:val="00FD3817"/>
    <w:rsid w:val="00FD45AF"/>
    <w:rsid w:val="00FD4B8A"/>
    <w:rsid w:val="00FD51EE"/>
    <w:rsid w:val="00FD591D"/>
    <w:rsid w:val="00FD5BCF"/>
    <w:rsid w:val="00FD5E3A"/>
    <w:rsid w:val="00FD650B"/>
    <w:rsid w:val="00FD6A84"/>
    <w:rsid w:val="00FD6DEF"/>
    <w:rsid w:val="00FE0515"/>
    <w:rsid w:val="00FE05C1"/>
    <w:rsid w:val="00FE0F7F"/>
    <w:rsid w:val="00FE0FD2"/>
    <w:rsid w:val="00FE1046"/>
    <w:rsid w:val="00FE148D"/>
    <w:rsid w:val="00FE1641"/>
    <w:rsid w:val="00FE21D5"/>
    <w:rsid w:val="00FE289F"/>
    <w:rsid w:val="00FE3292"/>
    <w:rsid w:val="00FE4B38"/>
    <w:rsid w:val="00FE5072"/>
    <w:rsid w:val="00FE5C35"/>
    <w:rsid w:val="00FE6458"/>
    <w:rsid w:val="00FE6A43"/>
    <w:rsid w:val="00FE7A05"/>
    <w:rsid w:val="00FE7D02"/>
    <w:rsid w:val="00FF0E36"/>
    <w:rsid w:val="00FF1744"/>
    <w:rsid w:val="00FF19F3"/>
    <w:rsid w:val="00FF202B"/>
    <w:rsid w:val="00FF2232"/>
    <w:rsid w:val="00FF24F8"/>
    <w:rsid w:val="00FF2E22"/>
    <w:rsid w:val="00FF3436"/>
    <w:rsid w:val="00FF3DF8"/>
    <w:rsid w:val="00FF3EDA"/>
    <w:rsid w:val="00FF4CFE"/>
    <w:rsid w:val="00FF5355"/>
    <w:rsid w:val="00FF57E5"/>
    <w:rsid w:val="00FF5EB5"/>
    <w:rsid w:val="00FF6ACB"/>
    <w:rsid w:val="00FF6DAF"/>
    <w:rsid w:val="00FF6ED8"/>
    <w:rsid w:val="00FF7694"/>
    <w:rsid w:val="00FF7A07"/>
    <w:rsid w:val="00FF7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C6"/>
  </w:style>
  <w:style w:type="paragraph" w:styleId="Heading1">
    <w:name w:val="heading 1"/>
    <w:basedOn w:val="Normal"/>
    <w:next w:val="Normal"/>
    <w:link w:val="Heading1Char"/>
    <w:qFormat/>
    <w:rsid w:val="009815E1"/>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63"/>
    <w:pPr>
      <w:ind w:left="720"/>
      <w:contextualSpacing/>
    </w:pPr>
  </w:style>
  <w:style w:type="paragraph" w:customStyle="1" w:styleId="Default">
    <w:name w:val="Default"/>
    <w:rsid w:val="001D22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35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233"/>
  </w:style>
  <w:style w:type="paragraph" w:styleId="Footer">
    <w:name w:val="footer"/>
    <w:basedOn w:val="Normal"/>
    <w:link w:val="FooterChar"/>
    <w:uiPriority w:val="99"/>
    <w:semiHidden/>
    <w:unhideWhenUsed/>
    <w:rsid w:val="00B352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233"/>
  </w:style>
  <w:style w:type="character" w:styleId="Emphasis">
    <w:name w:val="Emphasis"/>
    <w:basedOn w:val="DefaultParagraphFont"/>
    <w:uiPriority w:val="20"/>
    <w:qFormat/>
    <w:rsid w:val="009340B5"/>
    <w:rPr>
      <w:i/>
      <w:iCs/>
    </w:rPr>
  </w:style>
  <w:style w:type="paragraph" w:customStyle="1" w:styleId="RoadefTexte">
    <w:name w:val="RoadefTexte"/>
    <w:rsid w:val="00C824CB"/>
    <w:pPr>
      <w:spacing w:line="240" w:lineRule="auto"/>
      <w:ind w:firstLine="284"/>
      <w:jc w:val="both"/>
    </w:pPr>
    <w:rPr>
      <w:rFonts w:ascii="Times New Roman" w:eastAsia="Calibri" w:hAnsi="Times New Roman" w:cs="Times New Roman"/>
      <w:lang w:val="fr-FR"/>
    </w:rPr>
  </w:style>
  <w:style w:type="paragraph" w:customStyle="1" w:styleId="svarticle">
    <w:name w:val="svarticle"/>
    <w:basedOn w:val="Normal"/>
    <w:rsid w:val="005E2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AE"/>
  </w:style>
  <w:style w:type="paragraph" w:styleId="BalloonText">
    <w:name w:val="Balloon Text"/>
    <w:basedOn w:val="Normal"/>
    <w:link w:val="BalloonTextChar"/>
    <w:uiPriority w:val="99"/>
    <w:semiHidden/>
    <w:unhideWhenUsed/>
    <w:rsid w:val="0046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82"/>
    <w:rPr>
      <w:rFonts w:ascii="Tahoma" w:hAnsi="Tahoma" w:cs="Tahoma"/>
      <w:sz w:val="16"/>
      <w:szCs w:val="16"/>
    </w:rPr>
  </w:style>
  <w:style w:type="table" w:styleId="TableGrid">
    <w:name w:val="Table Grid"/>
    <w:basedOn w:val="TableNormal"/>
    <w:uiPriority w:val="59"/>
    <w:rsid w:val="00B4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365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FB2C7A"/>
    <w:rPr>
      <w:color w:val="808080"/>
    </w:rPr>
  </w:style>
  <w:style w:type="paragraph" w:customStyle="1" w:styleId="RoadefRef">
    <w:name w:val="RoadefRef"/>
    <w:rsid w:val="00D9704D"/>
    <w:pPr>
      <w:spacing w:after="120" w:line="240" w:lineRule="auto"/>
      <w:ind w:left="568" w:hanging="284"/>
      <w:jc w:val="both"/>
    </w:pPr>
    <w:rPr>
      <w:rFonts w:ascii="Times New Roman" w:eastAsia="Calibri" w:hAnsi="Times New Roman" w:cs="Times New Roman"/>
      <w:lang w:val="fr-FR"/>
    </w:rPr>
  </w:style>
  <w:style w:type="character" w:styleId="CommentReference">
    <w:name w:val="annotation reference"/>
    <w:basedOn w:val="DefaultParagraphFont"/>
    <w:uiPriority w:val="99"/>
    <w:semiHidden/>
    <w:unhideWhenUsed/>
    <w:rsid w:val="00F81759"/>
    <w:rPr>
      <w:sz w:val="16"/>
      <w:szCs w:val="16"/>
    </w:rPr>
  </w:style>
  <w:style w:type="paragraph" w:styleId="CommentText">
    <w:name w:val="annotation text"/>
    <w:basedOn w:val="Normal"/>
    <w:link w:val="CommentTextChar"/>
    <w:uiPriority w:val="99"/>
    <w:semiHidden/>
    <w:unhideWhenUsed/>
    <w:rsid w:val="00F81759"/>
    <w:pPr>
      <w:spacing w:line="240" w:lineRule="auto"/>
    </w:pPr>
    <w:rPr>
      <w:sz w:val="20"/>
      <w:szCs w:val="20"/>
    </w:rPr>
  </w:style>
  <w:style w:type="character" w:customStyle="1" w:styleId="CommentTextChar">
    <w:name w:val="Comment Text Char"/>
    <w:basedOn w:val="DefaultParagraphFont"/>
    <w:link w:val="CommentText"/>
    <w:uiPriority w:val="99"/>
    <w:semiHidden/>
    <w:rsid w:val="00F81759"/>
    <w:rPr>
      <w:sz w:val="20"/>
      <w:szCs w:val="20"/>
    </w:rPr>
  </w:style>
  <w:style w:type="paragraph" w:styleId="CommentSubject">
    <w:name w:val="annotation subject"/>
    <w:basedOn w:val="CommentText"/>
    <w:next w:val="CommentText"/>
    <w:link w:val="CommentSubjectChar"/>
    <w:uiPriority w:val="99"/>
    <w:semiHidden/>
    <w:unhideWhenUsed/>
    <w:rsid w:val="00F81759"/>
    <w:rPr>
      <w:b/>
      <w:bCs/>
    </w:rPr>
  </w:style>
  <w:style w:type="character" w:customStyle="1" w:styleId="CommentSubjectChar">
    <w:name w:val="Comment Subject Char"/>
    <w:basedOn w:val="CommentTextChar"/>
    <w:link w:val="CommentSubject"/>
    <w:uiPriority w:val="99"/>
    <w:semiHidden/>
    <w:rsid w:val="00F81759"/>
    <w:rPr>
      <w:b/>
      <w:bCs/>
      <w:sz w:val="20"/>
      <w:szCs w:val="20"/>
    </w:rPr>
  </w:style>
  <w:style w:type="character" w:customStyle="1" w:styleId="Heading1Char">
    <w:name w:val="Heading 1 Char"/>
    <w:basedOn w:val="DefaultParagraphFont"/>
    <w:link w:val="Heading1"/>
    <w:rsid w:val="009815E1"/>
    <w:rPr>
      <w:rFonts w:ascii="Times New Roman" w:eastAsia="Times New Roman" w:hAnsi="Times New Roman" w:cs="Times New Roman"/>
      <w:b/>
      <w:bCs/>
      <w:sz w:val="24"/>
      <w:szCs w:val="24"/>
      <w:lang w:eastAsia="el-GR"/>
    </w:rPr>
  </w:style>
  <w:style w:type="table" w:customStyle="1" w:styleId="TableGridLight1">
    <w:name w:val="Table Grid Light1"/>
    <w:basedOn w:val="TableNormal"/>
    <w:uiPriority w:val="40"/>
    <w:rsid w:val="00833F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7A61B1"/>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204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4A3"/>
    <w:rPr>
      <w:rFonts w:ascii="Tahoma" w:hAnsi="Tahoma" w:cs="Tahoma"/>
      <w:sz w:val="16"/>
      <w:szCs w:val="16"/>
    </w:rPr>
  </w:style>
  <w:style w:type="paragraph" w:customStyle="1" w:styleId="RoadefAdresse">
    <w:name w:val="RoadefAdresse"/>
    <w:next w:val="Normal"/>
    <w:autoRedefine/>
    <w:rsid w:val="00E35A7A"/>
    <w:pPr>
      <w:spacing w:before="60" w:after="0" w:line="240" w:lineRule="auto"/>
      <w:jc w:val="center"/>
    </w:pPr>
    <w:rPr>
      <w:rFonts w:ascii="Times New Roman" w:eastAsia="Calibri" w:hAnsi="Times New Roman" w:cs="Times New Roman"/>
      <w:sz w:val="20"/>
      <w:lang w:val="fr-FR"/>
    </w:rPr>
  </w:style>
  <w:style w:type="paragraph" w:customStyle="1" w:styleId="StyleRoadefAuteur">
    <w:name w:val="Style RoadefAuteur"/>
    <w:basedOn w:val="Normal"/>
    <w:next w:val="RoadefAdresse"/>
    <w:autoRedefine/>
    <w:rsid w:val="00E35A7A"/>
    <w:pPr>
      <w:spacing w:after="240" w:line="240" w:lineRule="auto"/>
      <w:jc w:val="center"/>
    </w:pPr>
    <w:rPr>
      <w:rFonts w:ascii="Times New Roman" w:eastAsia="Times New Roman" w:hAnsi="Times New Roman" w:cs="Times New Roman"/>
      <w:sz w:val="24"/>
      <w:szCs w:val="20"/>
    </w:rPr>
  </w:style>
  <w:style w:type="paragraph" w:customStyle="1" w:styleId="booktitle">
    <w:name w:val="booktitle"/>
    <w:basedOn w:val="Normal"/>
    <w:rsid w:val="009C7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24878">
      <w:bodyDiv w:val="1"/>
      <w:marLeft w:val="0"/>
      <w:marRight w:val="0"/>
      <w:marTop w:val="0"/>
      <w:marBottom w:val="0"/>
      <w:divBdr>
        <w:top w:val="none" w:sz="0" w:space="0" w:color="auto"/>
        <w:left w:val="none" w:sz="0" w:space="0" w:color="auto"/>
        <w:bottom w:val="none" w:sz="0" w:space="0" w:color="auto"/>
        <w:right w:val="none" w:sz="0" w:space="0" w:color="auto"/>
      </w:divBdr>
    </w:div>
    <w:div w:id="26682684">
      <w:bodyDiv w:val="1"/>
      <w:marLeft w:val="0"/>
      <w:marRight w:val="0"/>
      <w:marTop w:val="0"/>
      <w:marBottom w:val="0"/>
      <w:divBdr>
        <w:top w:val="none" w:sz="0" w:space="0" w:color="auto"/>
        <w:left w:val="none" w:sz="0" w:space="0" w:color="auto"/>
        <w:bottom w:val="none" w:sz="0" w:space="0" w:color="auto"/>
        <w:right w:val="none" w:sz="0" w:space="0" w:color="auto"/>
      </w:divBdr>
    </w:div>
    <w:div w:id="28066725">
      <w:bodyDiv w:val="1"/>
      <w:marLeft w:val="0"/>
      <w:marRight w:val="0"/>
      <w:marTop w:val="0"/>
      <w:marBottom w:val="0"/>
      <w:divBdr>
        <w:top w:val="none" w:sz="0" w:space="0" w:color="auto"/>
        <w:left w:val="none" w:sz="0" w:space="0" w:color="auto"/>
        <w:bottom w:val="none" w:sz="0" w:space="0" w:color="auto"/>
        <w:right w:val="none" w:sz="0" w:space="0" w:color="auto"/>
      </w:divBdr>
    </w:div>
    <w:div w:id="49351597">
      <w:bodyDiv w:val="1"/>
      <w:marLeft w:val="0"/>
      <w:marRight w:val="0"/>
      <w:marTop w:val="0"/>
      <w:marBottom w:val="0"/>
      <w:divBdr>
        <w:top w:val="none" w:sz="0" w:space="0" w:color="auto"/>
        <w:left w:val="none" w:sz="0" w:space="0" w:color="auto"/>
        <w:bottom w:val="none" w:sz="0" w:space="0" w:color="auto"/>
        <w:right w:val="none" w:sz="0" w:space="0" w:color="auto"/>
      </w:divBdr>
    </w:div>
    <w:div w:id="51126088">
      <w:bodyDiv w:val="1"/>
      <w:marLeft w:val="0"/>
      <w:marRight w:val="0"/>
      <w:marTop w:val="0"/>
      <w:marBottom w:val="0"/>
      <w:divBdr>
        <w:top w:val="none" w:sz="0" w:space="0" w:color="auto"/>
        <w:left w:val="none" w:sz="0" w:space="0" w:color="auto"/>
        <w:bottom w:val="none" w:sz="0" w:space="0" w:color="auto"/>
        <w:right w:val="none" w:sz="0" w:space="0" w:color="auto"/>
      </w:divBdr>
    </w:div>
    <w:div w:id="91972689">
      <w:bodyDiv w:val="1"/>
      <w:marLeft w:val="0"/>
      <w:marRight w:val="0"/>
      <w:marTop w:val="0"/>
      <w:marBottom w:val="0"/>
      <w:divBdr>
        <w:top w:val="none" w:sz="0" w:space="0" w:color="auto"/>
        <w:left w:val="none" w:sz="0" w:space="0" w:color="auto"/>
        <w:bottom w:val="none" w:sz="0" w:space="0" w:color="auto"/>
        <w:right w:val="none" w:sz="0" w:space="0" w:color="auto"/>
      </w:divBdr>
    </w:div>
    <w:div w:id="108011784">
      <w:bodyDiv w:val="1"/>
      <w:marLeft w:val="0"/>
      <w:marRight w:val="0"/>
      <w:marTop w:val="0"/>
      <w:marBottom w:val="0"/>
      <w:divBdr>
        <w:top w:val="none" w:sz="0" w:space="0" w:color="auto"/>
        <w:left w:val="none" w:sz="0" w:space="0" w:color="auto"/>
        <w:bottom w:val="none" w:sz="0" w:space="0" w:color="auto"/>
        <w:right w:val="none" w:sz="0" w:space="0" w:color="auto"/>
      </w:divBdr>
    </w:div>
    <w:div w:id="108206737">
      <w:bodyDiv w:val="1"/>
      <w:marLeft w:val="0"/>
      <w:marRight w:val="0"/>
      <w:marTop w:val="0"/>
      <w:marBottom w:val="0"/>
      <w:divBdr>
        <w:top w:val="none" w:sz="0" w:space="0" w:color="auto"/>
        <w:left w:val="none" w:sz="0" w:space="0" w:color="auto"/>
        <w:bottom w:val="none" w:sz="0" w:space="0" w:color="auto"/>
        <w:right w:val="none" w:sz="0" w:space="0" w:color="auto"/>
      </w:divBdr>
    </w:div>
    <w:div w:id="130055164">
      <w:bodyDiv w:val="1"/>
      <w:marLeft w:val="0"/>
      <w:marRight w:val="0"/>
      <w:marTop w:val="0"/>
      <w:marBottom w:val="0"/>
      <w:divBdr>
        <w:top w:val="none" w:sz="0" w:space="0" w:color="auto"/>
        <w:left w:val="none" w:sz="0" w:space="0" w:color="auto"/>
        <w:bottom w:val="none" w:sz="0" w:space="0" w:color="auto"/>
        <w:right w:val="none" w:sz="0" w:space="0" w:color="auto"/>
      </w:divBdr>
    </w:div>
    <w:div w:id="137113325">
      <w:bodyDiv w:val="1"/>
      <w:marLeft w:val="0"/>
      <w:marRight w:val="0"/>
      <w:marTop w:val="0"/>
      <w:marBottom w:val="0"/>
      <w:divBdr>
        <w:top w:val="none" w:sz="0" w:space="0" w:color="auto"/>
        <w:left w:val="none" w:sz="0" w:space="0" w:color="auto"/>
        <w:bottom w:val="none" w:sz="0" w:space="0" w:color="auto"/>
        <w:right w:val="none" w:sz="0" w:space="0" w:color="auto"/>
      </w:divBdr>
    </w:div>
    <w:div w:id="137958280">
      <w:bodyDiv w:val="1"/>
      <w:marLeft w:val="0"/>
      <w:marRight w:val="0"/>
      <w:marTop w:val="0"/>
      <w:marBottom w:val="0"/>
      <w:divBdr>
        <w:top w:val="none" w:sz="0" w:space="0" w:color="auto"/>
        <w:left w:val="none" w:sz="0" w:space="0" w:color="auto"/>
        <w:bottom w:val="none" w:sz="0" w:space="0" w:color="auto"/>
        <w:right w:val="none" w:sz="0" w:space="0" w:color="auto"/>
      </w:divBdr>
    </w:div>
    <w:div w:id="156653133">
      <w:bodyDiv w:val="1"/>
      <w:marLeft w:val="0"/>
      <w:marRight w:val="0"/>
      <w:marTop w:val="0"/>
      <w:marBottom w:val="0"/>
      <w:divBdr>
        <w:top w:val="none" w:sz="0" w:space="0" w:color="auto"/>
        <w:left w:val="none" w:sz="0" w:space="0" w:color="auto"/>
        <w:bottom w:val="none" w:sz="0" w:space="0" w:color="auto"/>
        <w:right w:val="none" w:sz="0" w:space="0" w:color="auto"/>
      </w:divBdr>
    </w:div>
    <w:div w:id="168064010">
      <w:bodyDiv w:val="1"/>
      <w:marLeft w:val="0"/>
      <w:marRight w:val="0"/>
      <w:marTop w:val="0"/>
      <w:marBottom w:val="0"/>
      <w:divBdr>
        <w:top w:val="none" w:sz="0" w:space="0" w:color="auto"/>
        <w:left w:val="none" w:sz="0" w:space="0" w:color="auto"/>
        <w:bottom w:val="none" w:sz="0" w:space="0" w:color="auto"/>
        <w:right w:val="none" w:sz="0" w:space="0" w:color="auto"/>
      </w:divBdr>
    </w:div>
    <w:div w:id="191455371">
      <w:bodyDiv w:val="1"/>
      <w:marLeft w:val="0"/>
      <w:marRight w:val="0"/>
      <w:marTop w:val="0"/>
      <w:marBottom w:val="0"/>
      <w:divBdr>
        <w:top w:val="none" w:sz="0" w:space="0" w:color="auto"/>
        <w:left w:val="none" w:sz="0" w:space="0" w:color="auto"/>
        <w:bottom w:val="none" w:sz="0" w:space="0" w:color="auto"/>
        <w:right w:val="none" w:sz="0" w:space="0" w:color="auto"/>
      </w:divBdr>
    </w:div>
    <w:div w:id="192547013">
      <w:bodyDiv w:val="1"/>
      <w:marLeft w:val="0"/>
      <w:marRight w:val="0"/>
      <w:marTop w:val="0"/>
      <w:marBottom w:val="0"/>
      <w:divBdr>
        <w:top w:val="none" w:sz="0" w:space="0" w:color="auto"/>
        <w:left w:val="none" w:sz="0" w:space="0" w:color="auto"/>
        <w:bottom w:val="none" w:sz="0" w:space="0" w:color="auto"/>
        <w:right w:val="none" w:sz="0" w:space="0" w:color="auto"/>
      </w:divBdr>
    </w:div>
    <w:div w:id="265503322">
      <w:bodyDiv w:val="1"/>
      <w:marLeft w:val="0"/>
      <w:marRight w:val="0"/>
      <w:marTop w:val="0"/>
      <w:marBottom w:val="0"/>
      <w:divBdr>
        <w:top w:val="none" w:sz="0" w:space="0" w:color="auto"/>
        <w:left w:val="none" w:sz="0" w:space="0" w:color="auto"/>
        <w:bottom w:val="none" w:sz="0" w:space="0" w:color="auto"/>
        <w:right w:val="none" w:sz="0" w:space="0" w:color="auto"/>
      </w:divBdr>
    </w:div>
    <w:div w:id="317808488">
      <w:bodyDiv w:val="1"/>
      <w:marLeft w:val="0"/>
      <w:marRight w:val="0"/>
      <w:marTop w:val="0"/>
      <w:marBottom w:val="0"/>
      <w:divBdr>
        <w:top w:val="none" w:sz="0" w:space="0" w:color="auto"/>
        <w:left w:val="none" w:sz="0" w:space="0" w:color="auto"/>
        <w:bottom w:val="none" w:sz="0" w:space="0" w:color="auto"/>
        <w:right w:val="none" w:sz="0" w:space="0" w:color="auto"/>
      </w:divBdr>
    </w:div>
    <w:div w:id="326175206">
      <w:bodyDiv w:val="1"/>
      <w:marLeft w:val="0"/>
      <w:marRight w:val="0"/>
      <w:marTop w:val="0"/>
      <w:marBottom w:val="0"/>
      <w:divBdr>
        <w:top w:val="none" w:sz="0" w:space="0" w:color="auto"/>
        <w:left w:val="none" w:sz="0" w:space="0" w:color="auto"/>
        <w:bottom w:val="none" w:sz="0" w:space="0" w:color="auto"/>
        <w:right w:val="none" w:sz="0" w:space="0" w:color="auto"/>
      </w:divBdr>
    </w:div>
    <w:div w:id="372969520">
      <w:bodyDiv w:val="1"/>
      <w:marLeft w:val="0"/>
      <w:marRight w:val="0"/>
      <w:marTop w:val="0"/>
      <w:marBottom w:val="0"/>
      <w:divBdr>
        <w:top w:val="none" w:sz="0" w:space="0" w:color="auto"/>
        <w:left w:val="none" w:sz="0" w:space="0" w:color="auto"/>
        <w:bottom w:val="none" w:sz="0" w:space="0" w:color="auto"/>
        <w:right w:val="none" w:sz="0" w:space="0" w:color="auto"/>
      </w:divBdr>
    </w:div>
    <w:div w:id="376975799">
      <w:bodyDiv w:val="1"/>
      <w:marLeft w:val="0"/>
      <w:marRight w:val="0"/>
      <w:marTop w:val="0"/>
      <w:marBottom w:val="0"/>
      <w:divBdr>
        <w:top w:val="none" w:sz="0" w:space="0" w:color="auto"/>
        <w:left w:val="none" w:sz="0" w:space="0" w:color="auto"/>
        <w:bottom w:val="none" w:sz="0" w:space="0" w:color="auto"/>
        <w:right w:val="none" w:sz="0" w:space="0" w:color="auto"/>
      </w:divBdr>
    </w:div>
    <w:div w:id="386296687">
      <w:bodyDiv w:val="1"/>
      <w:marLeft w:val="0"/>
      <w:marRight w:val="0"/>
      <w:marTop w:val="0"/>
      <w:marBottom w:val="0"/>
      <w:divBdr>
        <w:top w:val="none" w:sz="0" w:space="0" w:color="auto"/>
        <w:left w:val="none" w:sz="0" w:space="0" w:color="auto"/>
        <w:bottom w:val="none" w:sz="0" w:space="0" w:color="auto"/>
        <w:right w:val="none" w:sz="0" w:space="0" w:color="auto"/>
      </w:divBdr>
    </w:div>
    <w:div w:id="478888227">
      <w:bodyDiv w:val="1"/>
      <w:marLeft w:val="0"/>
      <w:marRight w:val="0"/>
      <w:marTop w:val="0"/>
      <w:marBottom w:val="0"/>
      <w:divBdr>
        <w:top w:val="none" w:sz="0" w:space="0" w:color="auto"/>
        <w:left w:val="none" w:sz="0" w:space="0" w:color="auto"/>
        <w:bottom w:val="none" w:sz="0" w:space="0" w:color="auto"/>
        <w:right w:val="none" w:sz="0" w:space="0" w:color="auto"/>
      </w:divBdr>
    </w:div>
    <w:div w:id="484471156">
      <w:bodyDiv w:val="1"/>
      <w:marLeft w:val="0"/>
      <w:marRight w:val="0"/>
      <w:marTop w:val="0"/>
      <w:marBottom w:val="0"/>
      <w:divBdr>
        <w:top w:val="none" w:sz="0" w:space="0" w:color="auto"/>
        <w:left w:val="none" w:sz="0" w:space="0" w:color="auto"/>
        <w:bottom w:val="none" w:sz="0" w:space="0" w:color="auto"/>
        <w:right w:val="none" w:sz="0" w:space="0" w:color="auto"/>
      </w:divBdr>
    </w:div>
    <w:div w:id="492453704">
      <w:bodyDiv w:val="1"/>
      <w:marLeft w:val="0"/>
      <w:marRight w:val="0"/>
      <w:marTop w:val="0"/>
      <w:marBottom w:val="0"/>
      <w:divBdr>
        <w:top w:val="none" w:sz="0" w:space="0" w:color="auto"/>
        <w:left w:val="none" w:sz="0" w:space="0" w:color="auto"/>
        <w:bottom w:val="none" w:sz="0" w:space="0" w:color="auto"/>
        <w:right w:val="none" w:sz="0" w:space="0" w:color="auto"/>
      </w:divBdr>
    </w:div>
    <w:div w:id="496313309">
      <w:bodyDiv w:val="1"/>
      <w:marLeft w:val="0"/>
      <w:marRight w:val="0"/>
      <w:marTop w:val="0"/>
      <w:marBottom w:val="0"/>
      <w:divBdr>
        <w:top w:val="none" w:sz="0" w:space="0" w:color="auto"/>
        <w:left w:val="none" w:sz="0" w:space="0" w:color="auto"/>
        <w:bottom w:val="none" w:sz="0" w:space="0" w:color="auto"/>
        <w:right w:val="none" w:sz="0" w:space="0" w:color="auto"/>
      </w:divBdr>
    </w:div>
    <w:div w:id="503324356">
      <w:bodyDiv w:val="1"/>
      <w:marLeft w:val="0"/>
      <w:marRight w:val="0"/>
      <w:marTop w:val="0"/>
      <w:marBottom w:val="0"/>
      <w:divBdr>
        <w:top w:val="none" w:sz="0" w:space="0" w:color="auto"/>
        <w:left w:val="none" w:sz="0" w:space="0" w:color="auto"/>
        <w:bottom w:val="none" w:sz="0" w:space="0" w:color="auto"/>
        <w:right w:val="none" w:sz="0" w:space="0" w:color="auto"/>
      </w:divBdr>
    </w:div>
    <w:div w:id="543717165">
      <w:bodyDiv w:val="1"/>
      <w:marLeft w:val="0"/>
      <w:marRight w:val="0"/>
      <w:marTop w:val="0"/>
      <w:marBottom w:val="0"/>
      <w:divBdr>
        <w:top w:val="none" w:sz="0" w:space="0" w:color="auto"/>
        <w:left w:val="none" w:sz="0" w:space="0" w:color="auto"/>
        <w:bottom w:val="none" w:sz="0" w:space="0" w:color="auto"/>
        <w:right w:val="none" w:sz="0" w:space="0" w:color="auto"/>
      </w:divBdr>
    </w:div>
    <w:div w:id="544176179">
      <w:bodyDiv w:val="1"/>
      <w:marLeft w:val="0"/>
      <w:marRight w:val="0"/>
      <w:marTop w:val="0"/>
      <w:marBottom w:val="0"/>
      <w:divBdr>
        <w:top w:val="none" w:sz="0" w:space="0" w:color="auto"/>
        <w:left w:val="none" w:sz="0" w:space="0" w:color="auto"/>
        <w:bottom w:val="none" w:sz="0" w:space="0" w:color="auto"/>
        <w:right w:val="none" w:sz="0" w:space="0" w:color="auto"/>
      </w:divBdr>
    </w:div>
    <w:div w:id="549270962">
      <w:bodyDiv w:val="1"/>
      <w:marLeft w:val="0"/>
      <w:marRight w:val="0"/>
      <w:marTop w:val="0"/>
      <w:marBottom w:val="0"/>
      <w:divBdr>
        <w:top w:val="none" w:sz="0" w:space="0" w:color="auto"/>
        <w:left w:val="none" w:sz="0" w:space="0" w:color="auto"/>
        <w:bottom w:val="none" w:sz="0" w:space="0" w:color="auto"/>
        <w:right w:val="none" w:sz="0" w:space="0" w:color="auto"/>
      </w:divBdr>
    </w:div>
    <w:div w:id="570577762">
      <w:bodyDiv w:val="1"/>
      <w:marLeft w:val="0"/>
      <w:marRight w:val="0"/>
      <w:marTop w:val="0"/>
      <w:marBottom w:val="0"/>
      <w:divBdr>
        <w:top w:val="none" w:sz="0" w:space="0" w:color="auto"/>
        <w:left w:val="none" w:sz="0" w:space="0" w:color="auto"/>
        <w:bottom w:val="none" w:sz="0" w:space="0" w:color="auto"/>
        <w:right w:val="none" w:sz="0" w:space="0" w:color="auto"/>
      </w:divBdr>
    </w:div>
    <w:div w:id="629943434">
      <w:bodyDiv w:val="1"/>
      <w:marLeft w:val="0"/>
      <w:marRight w:val="0"/>
      <w:marTop w:val="0"/>
      <w:marBottom w:val="0"/>
      <w:divBdr>
        <w:top w:val="none" w:sz="0" w:space="0" w:color="auto"/>
        <w:left w:val="none" w:sz="0" w:space="0" w:color="auto"/>
        <w:bottom w:val="none" w:sz="0" w:space="0" w:color="auto"/>
        <w:right w:val="none" w:sz="0" w:space="0" w:color="auto"/>
      </w:divBdr>
    </w:div>
    <w:div w:id="635834295">
      <w:bodyDiv w:val="1"/>
      <w:marLeft w:val="0"/>
      <w:marRight w:val="0"/>
      <w:marTop w:val="0"/>
      <w:marBottom w:val="0"/>
      <w:divBdr>
        <w:top w:val="none" w:sz="0" w:space="0" w:color="auto"/>
        <w:left w:val="none" w:sz="0" w:space="0" w:color="auto"/>
        <w:bottom w:val="none" w:sz="0" w:space="0" w:color="auto"/>
        <w:right w:val="none" w:sz="0" w:space="0" w:color="auto"/>
      </w:divBdr>
    </w:div>
    <w:div w:id="639001634">
      <w:bodyDiv w:val="1"/>
      <w:marLeft w:val="0"/>
      <w:marRight w:val="0"/>
      <w:marTop w:val="0"/>
      <w:marBottom w:val="0"/>
      <w:divBdr>
        <w:top w:val="none" w:sz="0" w:space="0" w:color="auto"/>
        <w:left w:val="none" w:sz="0" w:space="0" w:color="auto"/>
        <w:bottom w:val="none" w:sz="0" w:space="0" w:color="auto"/>
        <w:right w:val="none" w:sz="0" w:space="0" w:color="auto"/>
      </w:divBdr>
    </w:div>
    <w:div w:id="645665401">
      <w:bodyDiv w:val="1"/>
      <w:marLeft w:val="0"/>
      <w:marRight w:val="0"/>
      <w:marTop w:val="0"/>
      <w:marBottom w:val="0"/>
      <w:divBdr>
        <w:top w:val="none" w:sz="0" w:space="0" w:color="auto"/>
        <w:left w:val="none" w:sz="0" w:space="0" w:color="auto"/>
        <w:bottom w:val="none" w:sz="0" w:space="0" w:color="auto"/>
        <w:right w:val="none" w:sz="0" w:space="0" w:color="auto"/>
      </w:divBdr>
    </w:div>
    <w:div w:id="646058516">
      <w:bodyDiv w:val="1"/>
      <w:marLeft w:val="0"/>
      <w:marRight w:val="0"/>
      <w:marTop w:val="0"/>
      <w:marBottom w:val="0"/>
      <w:divBdr>
        <w:top w:val="none" w:sz="0" w:space="0" w:color="auto"/>
        <w:left w:val="none" w:sz="0" w:space="0" w:color="auto"/>
        <w:bottom w:val="none" w:sz="0" w:space="0" w:color="auto"/>
        <w:right w:val="none" w:sz="0" w:space="0" w:color="auto"/>
      </w:divBdr>
    </w:div>
    <w:div w:id="650061418">
      <w:bodyDiv w:val="1"/>
      <w:marLeft w:val="0"/>
      <w:marRight w:val="0"/>
      <w:marTop w:val="0"/>
      <w:marBottom w:val="0"/>
      <w:divBdr>
        <w:top w:val="none" w:sz="0" w:space="0" w:color="auto"/>
        <w:left w:val="none" w:sz="0" w:space="0" w:color="auto"/>
        <w:bottom w:val="none" w:sz="0" w:space="0" w:color="auto"/>
        <w:right w:val="none" w:sz="0" w:space="0" w:color="auto"/>
      </w:divBdr>
    </w:div>
    <w:div w:id="656424843">
      <w:bodyDiv w:val="1"/>
      <w:marLeft w:val="0"/>
      <w:marRight w:val="0"/>
      <w:marTop w:val="0"/>
      <w:marBottom w:val="0"/>
      <w:divBdr>
        <w:top w:val="none" w:sz="0" w:space="0" w:color="auto"/>
        <w:left w:val="none" w:sz="0" w:space="0" w:color="auto"/>
        <w:bottom w:val="none" w:sz="0" w:space="0" w:color="auto"/>
        <w:right w:val="none" w:sz="0" w:space="0" w:color="auto"/>
      </w:divBdr>
    </w:div>
    <w:div w:id="669721325">
      <w:bodyDiv w:val="1"/>
      <w:marLeft w:val="0"/>
      <w:marRight w:val="0"/>
      <w:marTop w:val="0"/>
      <w:marBottom w:val="0"/>
      <w:divBdr>
        <w:top w:val="none" w:sz="0" w:space="0" w:color="auto"/>
        <w:left w:val="none" w:sz="0" w:space="0" w:color="auto"/>
        <w:bottom w:val="none" w:sz="0" w:space="0" w:color="auto"/>
        <w:right w:val="none" w:sz="0" w:space="0" w:color="auto"/>
      </w:divBdr>
    </w:div>
    <w:div w:id="690228723">
      <w:bodyDiv w:val="1"/>
      <w:marLeft w:val="0"/>
      <w:marRight w:val="0"/>
      <w:marTop w:val="0"/>
      <w:marBottom w:val="0"/>
      <w:divBdr>
        <w:top w:val="none" w:sz="0" w:space="0" w:color="auto"/>
        <w:left w:val="none" w:sz="0" w:space="0" w:color="auto"/>
        <w:bottom w:val="none" w:sz="0" w:space="0" w:color="auto"/>
        <w:right w:val="none" w:sz="0" w:space="0" w:color="auto"/>
      </w:divBdr>
    </w:div>
    <w:div w:id="692389204">
      <w:bodyDiv w:val="1"/>
      <w:marLeft w:val="0"/>
      <w:marRight w:val="0"/>
      <w:marTop w:val="0"/>
      <w:marBottom w:val="0"/>
      <w:divBdr>
        <w:top w:val="none" w:sz="0" w:space="0" w:color="auto"/>
        <w:left w:val="none" w:sz="0" w:space="0" w:color="auto"/>
        <w:bottom w:val="none" w:sz="0" w:space="0" w:color="auto"/>
        <w:right w:val="none" w:sz="0" w:space="0" w:color="auto"/>
      </w:divBdr>
      <w:divsChild>
        <w:div w:id="2144544945">
          <w:marLeft w:val="0"/>
          <w:marRight w:val="0"/>
          <w:marTop w:val="0"/>
          <w:marBottom w:val="0"/>
          <w:divBdr>
            <w:top w:val="none" w:sz="0" w:space="0" w:color="auto"/>
            <w:left w:val="none" w:sz="0" w:space="0" w:color="auto"/>
            <w:bottom w:val="none" w:sz="0" w:space="0" w:color="auto"/>
            <w:right w:val="none" w:sz="0" w:space="0" w:color="auto"/>
          </w:divBdr>
          <w:divsChild>
            <w:div w:id="748774107">
              <w:marLeft w:val="0"/>
              <w:marRight w:val="0"/>
              <w:marTop w:val="0"/>
              <w:marBottom w:val="0"/>
              <w:divBdr>
                <w:top w:val="none" w:sz="0" w:space="0" w:color="auto"/>
                <w:left w:val="none" w:sz="0" w:space="0" w:color="auto"/>
                <w:bottom w:val="none" w:sz="0" w:space="0" w:color="auto"/>
                <w:right w:val="none" w:sz="0" w:space="0" w:color="auto"/>
              </w:divBdr>
              <w:divsChild>
                <w:div w:id="259139791">
                  <w:marLeft w:val="0"/>
                  <w:marRight w:val="0"/>
                  <w:marTop w:val="0"/>
                  <w:marBottom w:val="0"/>
                  <w:divBdr>
                    <w:top w:val="none" w:sz="0" w:space="0" w:color="auto"/>
                    <w:left w:val="none" w:sz="0" w:space="0" w:color="auto"/>
                    <w:bottom w:val="none" w:sz="0" w:space="0" w:color="auto"/>
                    <w:right w:val="none" w:sz="0" w:space="0" w:color="auto"/>
                  </w:divBdr>
                  <w:divsChild>
                    <w:div w:id="993414088">
                      <w:marLeft w:val="0"/>
                      <w:marRight w:val="0"/>
                      <w:marTop w:val="0"/>
                      <w:marBottom w:val="75"/>
                      <w:divBdr>
                        <w:top w:val="none" w:sz="0" w:space="0" w:color="auto"/>
                        <w:left w:val="none" w:sz="0" w:space="0" w:color="auto"/>
                        <w:bottom w:val="none" w:sz="0" w:space="0" w:color="auto"/>
                        <w:right w:val="none" w:sz="0" w:space="0" w:color="auto"/>
                      </w:divBdr>
                    </w:div>
                    <w:div w:id="1306811292">
                      <w:marLeft w:val="0"/>
                      <w:marRight w:val="0"/>
                      <w:marTop w:val="0"/>
                      <w:marBottom w:val="75"/>
                      <w:divBdr>
                        <w:top w:val="none" w:sz="0" w:space="0" w:color="auto"/>
                        <w:left w:val="none" w:sz="0" w:space="0" w:color="auto"/>
                        <w:bottom w:val="none" w:sz="0" w:space="0" w:color="auto"/>
                        <w:right w:val="none" w:sz="0" w:space="0" w:color="auto"/>
                      </w:divBdr>
                    </w:div>
                    <w:div w:id="483934568">
                      <w:marLeft w:val="0"/>
                      <w:marRight w:val="0"/>
                      <w:marTop w:val="0"/>
                      <w:marBottom w:val="75"/>
                      <w:divBdr>
                        <w:top w:val="none" w:sz="0" w:space="0" w:color="auto"/>
                        <w:left w:val="none" w:sz="0" w:space="0" w:color="auto"/>
                        <w:bottom w:val="none" w:sz="0" w:space="0" w:color="auto"/>
                        <w:right w:val="none" w:sz="0" w:space="0" w:color="auto"/>
                      </w:divBdr>
                    </w:div>
                    <w:div w:id="1444761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94430196">
      <w:bodyDiv w:val="1"/>
      <w:marLeft w:val="0"/>
      <w:marRight w:val="0"/>
      <w:marTop w:val="0"/>
      <w:marBottom w:val="0"/>
      <w:divBdr>
        <w:top w:val="none" w:sz="0" w:space="0" w:color="auto"/>
        <w:left w:val="none" w:sz="0" w:space="0" w:color="auto"/>
        <w:bottom w:val="none" w:sz="0" w:space="0" w:color="auto"/>
        <w:right w:val="none" w:sz="0" w:space="0" w:color="auto"/>
      </w:divBdr>
    </w:div>
    <w:div w:id="710030999">
      <w:bodyDiv w:val="1"/>
      <w:marLeft w:val="0"/>
      <w:marRight w:val="0"/>
      <w:marTop w:val="0"/>
      <w:marBottom w:val="0"/>
      <w:divBdr>
        <w:top w:val="none" w:sz="0" w:space="0" w:color="auto"/>
        <w:left w:val="none" w:sz="0" w:space="0" w:color="auto"/>
        <w:bottom w:val="none" w:sz="0" w:space="0" w:color="auto"/>
        <w:right w:val="none" w:sz="0" w:space="0" w:color="auto"/>
      </w:divBdr>
    </w:div>
    <w:div w:id="738941874">
      <w:bodyDiv w:val="1"/>
      <w:marLeft w:val="0"/>
      <w:marRight w:val="0"/>
      <w:marTop w:val="0"/>
      <w:marBottom w:val="0"/>
      <w:divBdr>
        <w:top w:val="none" w:sz="0" w:space="0" w:color="auto"/>
        <w:left w:val="none" w:sz="0" w:space="0" w:color="auto"/>
        <w:bottom w:val="none" w:sz="0" w:space="0" w:color="auto"/>
        <w:right w:val="none" w:sz="0" w:space="0" w:color="auto"/>
      </w:divBdr>
    </w:div>
    <w:div w:id="772439509">
      <w:bodyDiv w:val="1"/>
      <w:marLeft w:val="0"/>
      <w:marRight w:val="0"/>
      <w:marTop w:val="0"/>
      <w:marBottom w:val="0"/>
      <w:divBdr>
        <w:top w:val="none" w:sz="0" w:space="0" w:color="auto"/>
        <w:left w:val="none" w:sz="0" w:space="0" w:color="auto"/>
        <w:bottom w:val="none" w:sz="0" w:space="0" w:color="auto"/>
        <w:right w:val="none" w:sz="0" w:space="0" w:color="auto"/>
      </w:divBdr>
    </w:div>
    <w:div w:id="823426844">
      <w:bodyDiv w:val="1"/>
      <w:marLeft w:val="0"/>
      <w:marRight w:val="0"/>
      <w:marTop w:val="0"/>
      <w:marBottom w:val="0"/>
      <w:divBdr>
        <w:top w:val="none" w:sz="0" w:space="0" w:color="auto"/>
        <w:left w:val="none" w:sz="0" w:space="0" w:color="auto"/>
        <w:bottom w:val="none" w:sz="0" w:space="0" w:color="auto"/>
        <w:right w:val="none" w:sz="0" w:space="0" w:color="auto"/>
      </w:divBdr>
    </w:div>
    <w:div w:id="965349582">
      <w:bodyDiv w:val="1"/>
      <w:marLeft w:val="0"/>
      <w:marRight w:val="0"/>
      <w:marTop w:val="0"/>
      <w:marBottom w:val="0"/>
      <w:divBdr>
        <w:top w:val="none" w:sz="0" w:space="0" w:color="auto"/>
        <w:left w:val="none" w:sz="0" w:space="0" w:color="auto"/>
        <w:bottom w:val="none" w:sz="0" w:space="0" w:color="auto"/>
        <w:right w:val="none" w:sz="0" w:space="0" w:color="auto"/>
      </w:divBdr>
    </w:div>
    <w:div w:id="971788012">
      <w:bodyDiv w:val="1"/>
      <w:marLeft w:val="0"/>
      <w:marRight w:val="0"/>
      <w:marTop w:val="0"/>
      <w:marBottom w:val="0"/>
      <w:divBdr>
        <w:top w:val="none" w:sz="0" w:space="0" w:color="auto"/>
        <w:left w:val="none" w:sz="0" w:space="0" w:color="auto"/>
        <w:bottom w:val="none" w:sz="0" w:space="0" w:color="auto"/>
        <w:right w:val="none" w:sz="0" w:space="0" w:color="auto"/>
      </w:divBdr>
    </w:div>
    <w:div w:id="993870709">
      <w:bodyDiv w:val="1"/>
      <w:marLeft w:val="0"/>
      <w:marRight w:val="0"/>
      <w:marTop w:val="0"/>
      <w:marBottom w:val="0"/>
      <w:divBdr>
        <w:top w:val="none" w:sz="0" w:space="0" w:color="auto"/>
        <w:left w:val="none" w:sz="0" w:space="0" w:color="auto"/>
        <w:bottom w:val="none" w:sz="0" w:space="0" w:color="auto"/>
        <w:right w:val="none" w:sz="0" w:space="0" w:color="auto"/>
      </w:divBdr>
    </w:div>
    <w:div w:id="1015035031">
      <w:bodyDiv w:val="1"/>
      <w:marLeft w:val="0"/>
      <w:marRight w:val="0"/>
      <w:marTop w:val="0"/>
      <w:marBottom w:val="0"/>
      <w:divBdr>
        <w:top w:val="none" w:sz="0" w:space="0" w:color="auto"/>
        <w:left w:val="none" w:sz="0" w:space="0" w:color="auto"/>
        <w:bottom w:val="none" w:sz="0" w:space="0" w:color="auto"/>
        <w:right w:val="none" w:sz="0" w:space="0" w:color="auto"/>
      </w:divBdr>
    </w:div>
    <w:div w:id="1025910084">
      <w:bodyDiv w:val="1"/>
      <w:marLeft w:val="0"/>
      <w:marRight w:val="0"/>
      <w:marTop w:val="0"/>
      <w:marBottom w:val="0"/>
      <w:divBdr>
        <w:top w:val="none" w:sz="0" w:space="0" w:color="auto"/>
        <w:left w:val="none" w:sz="0" w:space="0" w:color="auto"/>
        <w:bottom w:val="none" w:sz="0" w:space="0" w:color="auto"/>
        <w:right w:val="none" w:sz="0" w:space="0" w:color="auto"/>
      </w:divBdr>
    </w:div>
    <w:div w:id="1058091304">
      <w:bodyDiv w:val="1"/>
      <w:marLeft w:val="0"/>
      <w:marRight w:val="0"/>
      <w:marTop w:val="0"/>
      <w:marBottom w:val="0"/>
      <w:divBdr>
        <w:top w:val="none" w:sz="0" w:space="0" w:color="auto"/>
        <w:left w:val="none" w:sz="0" w:space="0" w:color="auto"/>
        <w:bottom w:val="none" w:sz="0" w:space="0" w:color="auto"/>
        <w:right w:val="none" w:sz="0" w:space="0" w:color="auto"/>
      </w:divBdr>
    </w:div>
    <w:div w:id="1059553073">
      <w:bodyDiv w:val="1"/>
      <w:marLeft w:val="0"/>
      <w:marRight w:val="0"/>
      <w:marTop w:val="0"/>
      <w:marBottom w:val="0"/>
      <w:divBdr>
        <w:top w:val="none" w:sz="0" w:space="0" w:color="auto"/>
        <w:left w:val="none" w:sz="0" w:space="0" w:color="auto"/>
        <w:bottom w:val="none" w:sz="0" w:space="0" w:color="auto"/>
        <w:right w:val="none" w:sz="0" w:space="0" w:color="auto"/>
      </w:divBdr>
    </w:div>
    <w:div w:id="1090128659">
      <w:bodyDiv w:val="1"/>
      <w:marLeft w:val="0"/>
      <w:marRight w:val="0"/>
      <w:marTop w:val="0"/>
      <w:marBottom w:val="0"/>
      <w:divBdr>
        <w:top w:val="none" w:sz="0" w:space="0" w:color="auto"/>
        <w:left w:val="none" w:sz="0" w:space="0" w:color="auto"/>
        <w:bottom w:val="none" w:sz="0" w:space="0" w:color="auto"/>
        <w:right w:val="none" w:sz="0" w:space="0" w:color="auto"/>
      </w:divBdr>
    </w:div>
    <w:div w:id="1104884418">
      <w:bodyDiv w:val="1"/>
      <w:marLeft w:val="0"/>
      <w:marRight w:val="0"/>
      <w:marTop w:val="0"/>
      <w:marBottom w:val="0"/>
      <w:divBdr>
        <w:top w:val="none" w:sz="0" w:space="0" w:color="auto"/>
        <w:left w:val="none" w:sz="0" w:space="0" w:color="auto"/>
        <w:bottom w:val="none" w:sz="0" w:space="0" w:color="auto"/>
        <w:right w:val="none" w:sz="0" w:space="0" w:color="auto"/>
      </w:divBdr>
    </w:div>
    <w:div w:id="1127971782">
      <w:bodyDiv w:val="1"/>
      <w:marLeft w:val="0"/>
      <w:marRight w:val="0"/>
      <w:marTop w:val="0"/>
      <w:marBottom w:val="0"/>
      <w:divBdr>
        <w:top w:val="none" w:sz="0" w:space="0" w:color="auto"/>
        <w:left w:val="none" w:sz="0" w:space="0" w:color="auto"/>
        <w:bottom w:val="none" w:sz="0" w:space="0" w:color="auto"/>
        <w:right w:val="none" w:sz="0" w:space="0" w:color="auto"/>
      </w:divBdr>
    </w:div>
    <w:div w:id="1241058119">
      <w:bodyDiv w:val="1"/>
      <w:marLeft w:val="0"/>
      <w:marRight w:val="0"/>
      <w:marTop w:val="0"/>
      <w:marBottom w:val="0"/>
      <w:divBdr>
        <w:top w:val="none" w:sz="0" w:space="0" w:color="auto"/>
        <w:left w:val="none" w:sz="0" w:space="0" w:color="auto"/>
        <w:bottom w:val="none" w:sz="0" w:space="0" w:color="auto"/>
        <w:right w:val="none" w:sz="0" w:space="0" w:color="auto"/>
      </w:divBdr>
    </w:div>
    <w:div w:id="1261986155">
      <w:bodyDiv w:val="1"/>
      <w:marLeft w:val="0"/>
      <w:marRight w:val="0"/>
      <w:marTop w:val="0"/>
      <w:marBottom w:val="0"/>
      <w:divBdr>
        <w:top w:val="none" w:sz="0" w:space="0" w:color="auto"/>
        <w:left w:val="none" w:sz="0" w:space="0" w:color="auto"/>
        <w:bottom w:val="none" w:sz="0" w:space="0" w:color="auto"/>
        <w:right w:val="none" w:sz="0" w:space="0" w:color="auto"/>
      </w:divBdr>
    </w:div>
    <w:div w:id="1279339365">
      <w:bodyDiv w:val="1"/>
      <w:marLeft w:val="0"/>
      <w:marRight w:val="0"/>
      <w:marTop w:val="0"/>
      <w:marBottom w:val="0"/>
      <w:divBdr>
        <w:top w:val="none" w:sz="0" w:space="0" w:color="auto"/>
        <w:left w:val="none" w:sz="0" w:space="0" w:color="auto"/>
        <w:bottom w:val="none" w:sz="0" w:space="0" w:color="auto"/>
        <w:right w:val="none" w:sz="0" w:space="0" w:color="auto"/>
      </w:divBdr>
    </w:div>
    <w:div w:id="1280990386">
      <w:bodyDiv w:val="1"/>
      <w:marLeft w:val="0"/>
      <w:marRight w:val="0"/>
      <w:marTop w:val="0"/>
      <w:marBottom w:val="0"/>
      <w:divBdr>
        <w:top w:val="none" w:sz="0" w:space="0" w:color="auto"/>
        <w:left w:val="none" w:sz="0" w:space="0" w:color="auto"/>
        <w:bottom w:val="none" w:sz="0" w:space="0" w:color="auto"/>
        <w:right w:val="none" w:sz="0" w:space="0" w:color="auto"/>
      </w:divBdr>
    </w:div>
    <w:div w:id="1305966160">
      <w:bodyDiv w:val="1"/>
      <w:marLeft w:val="0"/>
      <w:marRight w:val="0"/>
      <w:marTop w:val="0"/>
      <w:marBottom w:val="0"/>
      <w:divBdr>
        <w:top w:val="none" w:sz="0" w:space="0" w:color="auto"/>
        <w:left w:val="none" w:sz="0" w:space="0" w:color="auto"/>
        <w:bottom w:val="none" w:sz="0" w:space="0" w:color="auto"/>
        <w:right w:val="none" w:sz="0" w:space="0" w:color="auto"/>
      </w:divBdr>
    </w:div>
    <w:div w:id="1322543240">
      <w:bodyDiv w:val="1"/>
      <w:marLeft w:val="0"/>
      <w:marRight w:val="0"/>
      <w:marTop w:val="0"/>
      <w:marBottom w:val="0"/>
      <w:divBdr>
        <w:top w:val="none" w:sz="0" w:space="0" w:color="auto"/>
        <w:left w:val="none" w:sz="0" w:space="0" w:color="auto"/>
        <w:bottom w:val="none" w:sz="0" w:space="0" w:color="auto"/>
        <w:right w:val="none" w:sz="0" w:space="0" w:color="auto"/>
      </w:divBdr>
    </w:div>
    <w:div w:id="1340698705">
      <w:bodyDiv w:val="1"/>
      <w:marLeft w:val="0"/>
      <w:marRight w:val="0"/>
      <w:marTop w:val="0"/>
      <w:marBottom w:val="0"/>
      <w:divBdr>
        <w:top w:val="none" w:sz="0" w:space="0" w:color="auto"/>
        <w:left w:val="none" w:sz="0" w:space="0" w:color="auto"/>
        <w:bottom w:val="none" w:sz="0" w:space="0" w:color="auto"/>
        <w:right w:val="none" w:sz="0" w:space="0" w:color="auto"/>
      </w:divBdr>
      <w:divsChild>
        <w:div w:id="446780063">
          <w:marLeft w:val="547"/>
          <w:marRight w:val="0"/>
          <w:marTop w:val="58"/>
          <w:marBottom w:val="0"/>
          <w:divBdr>
            <w:top w:val="none" w:sz="0" w:space="0" w:color="auto"/>
            <w:left w:val="none" w:sz="0" w:space="0" w:color="auto"/>
            <w:bottom w:val="none" w:sz="0" w:space="0" w:color="auto"/>
            <w:right w:val="none" w:sz="0" w:space="0" w:color="auto"/>
          </w:divBdr>
        </w:div>
      </w:divsChild>
    </w:div>
    <w:div w:id="1356737993">
      <w:bodyDiv w:val="1"/>
      <w:marLeft w:val="0"/>
      <w:marRight w:val="0"/>
      <w:marTop w:val="0"/>
      <w:marBottom w:val="0"/>
      <w:divBdr>
        <w:top w:val="none" w:sz="0" w:space="0" w:color="auto"/>
        <w:left w:val="none" w:sz="0" w:space="0" w:color="auto"/>
        <w:bottom w:val="none" w:sz="0" w:space="0" w:color="auto"/>
        <w:right w:val="none" w:sz="0" w:space="0" w:color="auto"/>
      </w:divBdr>
    </w:div>
    <w:div w:id="1375689400">
      <w:bodyDiv w:val="1"/>
      <w:marLeft w:val="0"/>
      <w:marRight w:val="0"/>
      <w:marTop w:val="0"/>
      <w:marBottom w:val="0"/>
      <w:divBdr>
        <w:top w:val="none" w:sz="0" w:space="0" w:color="auto"/>
        <w:left w:val="none" w:sz="0" w:space="0" w:color="auto"/>
        <w:bottom w:val="none" w:sz="0" w:space="0" w:color="auto"/>
        <w:right w:val="none" w:sz="0" w:space="0" w:color="auto"/>
      </w:divBdr>
    </w:div>
    <w:div w:id="1382286444">
      <w:bodyDiv w:val="1"/>
      <w:marLeft w:val="0"/>
      <w:marRight w:val="0"/>
      <w:marTop w:val="0"/>
      <w:marBottom w:val="0"/>
      <w:divBdr>
        <w:top w:val="none" w:sz="0" w:space="0" w:color="auto"/>
        <w:left w:val="none" w:sz="0" w:space="0" w:color="auto"/>
        <w:bottom w:val="none" w:sz="0" w:space="0" w:color="auto"/>
        <w:right w:val="none" w:sz="0" w:space="0" w:color="auto"/>
      </w:divBdr>
    </w:div>
    <w:div w:id="1463575626">
      <w:bodyDiv w:val="1"/>
      <w:marLeft w:val="0"/>
      <w:marRight w:val="0"/>
      <w:marTop w:val="0"/>
      <w:marBottom w:val="0"/>
      <w:divBdr>
        <w:top w:val="none" w:sz="0" w:space="0" w:color="auto"/>
        <w:left w:val="none" w:sz="0" w:space="0" w:color="auto"/>
        <w:bottom w:val="none" w:sz="0" w:space="0" w:color="auto"/>
        <w:right w:val="none" w:sz="0" w:space="0" w:color="auto"/>
      </w:divBdr>
    </w:div>
    <w:div w:id="1477599764">
      <w:bodyDiv w:val="1"/>
      <w:marLeft w:val="0"/>
      <w:marRight w:val="0"/>
      <w:marTop w:val="0"/>
      <w:marBottom w:val="0"/>
      <w:divBdr>
        <w:top w:val="none" w:sz="0" w:space="0" w:color="auto"/>
        <w:left w:val="none" w:sz="0" w:space="0" w:color="auto"/>
        <w:bottom w:val="none" w:sz="0" w:space="0" w:color="auto"/>
        <w:right w:val="none" w:sz="0" w:space="0" w:color="auto"/>
      </w:divBdr>
    </w:div>
    <w:div w:id="1478372777">
      <w:bodyDiv w:val="1"/>
      <w:marLeft w:val="0"/>
      <w:marRight w:val="0"/>
      <w:marTop w:val="0"/>
      <w:marBottom w:val="0"/>
      <w:divBdr>
        <w:top w:val="none" w:sz="0" w:space="0" w:color="auto"/>
        <w:left w:val="none" w:sz="0" w:space="0" w:color="auto"/>
        <w:bottom w:val="none" w:sz="0" w:space="0" w:color="auto"/>
        <w:right w:val="none" w:sz="0" w:space="0" w:color="auto"/>
      </w:divBdr>
    </w:div>
    <w:div w:id="1489252684">
      <w:bodyDiv w:val="1"/>
      <w:marLeft w:val="0"/>
      <w:marRight w:val="0"/>
      <w:marTop w:val="0"/>
      <w:marBottom w:val="0"/>
      <w:divBdr>
        <w:top w:val="none" w:sz="0" w:space="0" w:color="auto"/>
        <w:left w:val="none" w:sz="0" w:space="0" w:color="auto"/>
        <w:bottom w:val="none" w:sz="0" w:space="0" w:color="auto"/>
        <w:right w:val="none" w:sz="0" w:space="0" w:color="auto"/>
      </w:divBdr>
    </w:div>
    <w:div w:id="1503080536">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50728956">
      <w:bodyDiv w:val="1"/>
      <w:marLeft w:val="0"/>
      <w:marRight w:val="0"/>
      <w:marTop w:val="0"/>
      <w:marBottom w:val="0"/>
      <w:divBdr>
        <w:top w:val="none" w:sz="0" w:space="0" w:color="auto"/>
        <w:left w:val="none" w:sz="0" w:space="0" w:color="auto"/>
        <w:bottom w:val="none" w:sz="0" w:space="0" w:color="auto"/>
        <w:right w:val="none" w:sz="0" w:space="0" w:color="auto"/>
      </w:divBdr>
    </w:div>
    <w:div w:id="1569268894">
      <w:bodyDiv w:val="1"/>
      <w:marLeft w:val="0"/>
      <w:marRight w:val="0"/>
      <w:marTop w:val="0"/>
      <w:marBottom w:val="0"/>
      <w:divBdr>
        <w:top w:val="none" w:sz="0" w:space="0" w:color="auto"/>
        <w:left w:val="none" w:sz="0" w:space="0" w:color="auto"/>
        <w:bottom w:val="none" w:sz="0" w:space="0" w:color="auto"/>
        <w:right w:val="none" w:sz="0" w:space="0" w:color="auto"/>
      </w:divBdr>
    </w:div>
    <w:div w:id="1575705563">
      <w:bodyDiv w:val="1"/>
      <w:marLeft w:val="0"/>
      <w:marRight w:val="0"/>
      <w:marTop w:val="0"/>
      <w:marBottom w:val="0"/>
      <w:divBdr>
        <w:top w:val="none" w:sz="0" w:space="0" w:color="auto"/>
        <w:left w:val="none" w:sz="0" w:space="0" w:color="auto"/>
        <w:bottom w:val="none" w:sz="0" w:space="0" w:color="auto"/>
        <w:right w:val="none" w:sz="0" w:space="0" w:color="auto"/>
      </w:divBdr>
      <w:divsChild>
        <w:div w:id="866795740">
          <w:marLeft w:val="547"/>
          <w:marRight w:val="0"/>
          <w:marTop w:val="86"/>
          <w:marBottom w:val="0"/>
          <w:divBdr>
            <w:top w:val="none" w:sz="0" w:space="0" w:color="auto"/>
            <w:left w:val="none" w:sz="0" w:space="0" w:color="auto"/>
            <w:bottom w:val="none" w:sz="0" w:space="0" w:color="auto"/>
            <w:right w:val="none" w:sz="0" w:space="0" w:color="auto"/>
          </w:divBdr>
        </w:div>
      </w:divsChild>
    </w:div>
    <w:div w:id="1597666873">
      <w:bodyDiv w:val="1"/>
      <w:marLeft w:val="0"/>
      <w:marRight w:val="0"/>
      <w:marTop w:val="0"/>
      <w:marBottom w:val="0"/>
      <w:divBdr>
        <w:top w:val="none" w:sz="0" w:space="0" w:color="auto"/>
        <w:left w:val="none" w:sz="0" w:space="0" w:color="auto"/>
        <w:bottom w:val="none" w:sz="0" w:space="0" w:color="auto"/>
        <w:right w:val="none" w:sz="0" w:space="0" w:color="auto"/>
      </w:divBdr>
    </w:div>
    <w:div w:id="1620455037">
      <w:bodyDiv w:val="1"/>
      <w:marLeft w:val="0"/>
      <w:marRight w:val="0"/>
      <w:marTop w:val="0"/>
      <w:marBottom w:val="0"/>
      <w:divBdr>
        <w:top w:val="none" w:sz="0" w:space="0" w:color="auto"/>
        <w:left w:val="none" w:sz="0" w:space="0" w:color="auto"/>
        <w:bottom w:val="none" w:sz="0" w:space="0" w:color="auto"/>
        <w:right w:val="none" w:sz="0" w:space="0" w:color="auto"/>
      </w:divBdr>
    </w:div>
    <w:div w:id="1638105041">
      <w:bodyDiv w:val="1"/>
      <w:marLeft w:val="0"/>
      <w:marRight w:val="0"/>
      <w:marTop w:val="0"/>
      <w:marBottom w:val="0"/>
      <w:divBdr>
        <w:top w:val="none" w:sz="0" w:space="0" w:color="auto"/>
        <w:left w:val="none" w:sz="0" w:space="0" w:color="auto"/>
        <w:bottom w:val="none" w:sz="0" w:space="0" w:color="auto"/>
        <w:right w:val="none" w:sz="0" w:space="0" w:color="auto"/>
      </w:divBdr>
    </w:div>
    <w:div w:id="1668753776">
      <w:bodyDiv w:val="1"/>
      <w:marLeft w:val="0"/>
      <w:marRight w:val="0"/>
      <w:marTop w:val="0"/>
      <w:marBottom w:val="0"/>
      <w:divBdr>
        <w:top w:val="none" w:sz="0" w:space="0" w:color="auto"/>
        <w:left w:val="none" w:sz="0" w:space="0" w:color="auto"/>
        <w:bottom w:val="none" w:sz="0" w:space="0" w:color="auto"/>
        <w:right w:val="none" w:sz="0" w:space="0" w:color="auto"/>
      </w:divBdr>
    </w:div>
    <w:div w:id="1733506677">
      <w:bodyDiv w:val="1"/>
      <w:marLeft w:val="0"/>
      <w:marRight w:val="0"/>
      <w:marTop w:val="0"/>
      <w:marBottom w:val="0"/>
      <w:divBdr>
        <w:top w:val="none" w:sz="0" w:space="0" w:color="auto"/>
        <w:left w:val="none" w:sz="0" w:space="0" w:color="auto"/>
        <w:bottom w:val="none" w:sz="0" w:space="0" w:color="auto"/>
        <w:right w:val="none" w:sz="0" w:space="0" w:color="auto"/>
      </w:divBdr>
    </w:div>
    <w:div w:id="1746756156">
      <w:bodyDiv w:val="1"/>
      <w:marLeft w:val="0"/>
      <w:marRight w:val="0"/>
      <w:marTop w:val="0"/>
      <w:marBottom w:val="0"/>
      <w:divBdr>
        <w:top w:val="none" w:sz="0" w:space="0" w:color="auto"/>
        <w:left w:val="none" w:sz="0" w:space="0" w:color="auto"/>
        <w:bottom w:val="none" w:sz="0" w:space="0" w:color="auto"/>
        <w:right w:val="none" w:sz="0" w:space="0" w:color="auto"/>
      </w:divBdr>
    </w:div>
    <w:div w:id="1793478558">
      <w:bodyDiv w:val="1"/>
      <w:marLeft w:val="0"/>
      <w:marRight w:val="0"/>
      <w:marTop w:val="0"/>
      <w:marBottom w:val="0"/>
      <w:divBdr>
        <w:top w:val="none" w:sz="0" w:space="0" w:color="auto"/>
        <w:left w:val="none" w:sz="0" w:space="0" w:color="auto"/>
        <w:bottom w:val="none" w:sz="0" w:space="0" w:color="auto"/>
        <w:right w:val="none" w:sz="0" w:space="0" w:color="auto"/>
      </w:divBdr>
    </w:div>
    <w:div w:id="1794398878">
      <w:bodyDiv w:val="1"/>
      <w:marLeft w:val="0"/>
      <w:marRight w:val="0"/>
      <w:marTop w:val="0"/>
      <w:marBottom w:val="0"/>
      <w:divBdr>
        <w:top w:val="none" w:sz="0" w:space="0" w:color="auto"/>
        <w:left w:val="none" w:sz="0" w:space="0" w:color="auto"/>
        <w:bottom w:val="none" w:sz="0" w:space="0" w:color="auto"/>
        <w:right w:val="none" w:sz="0" w:space="0" w:color="auto"/>
      </w:divBdr>
    </w:div>
    <w:div w:id="1815028792">
      <w:bodyDiv w:val="1"/>
      <w:marLeft w:val="0"/>
      <w:marRight w:val="0"/>
      <w:marTop w:val="0"/>
      <w:marBottom w:val="0"/>
      <w:divBdr>
        <w:top w:val="none" w:sz="0" w:space="0" w:color="auto"/>
        <w:left w:val="none" w:sz="0" w:space="0" w:color="auto"/>
        <w:bottom w:val="none" w:sz="0" w:space="0" w:color="auto"/>
        <w:right w:val="none" w:sz="0" w:space="0" w:color="auto"/>
      </w:divBdr>
    </w:div>
    <w:div w:id="1897472453">
      <w:bodyDiv w:val="1"/>
      <w:marLeft w:val="0"/>
      <w:marRight w:val="0"/>
      <w:marTop w:val="0"/>
      <w:marBottom w:val="0"/>
      <w:divBdr>
        <w:top w:val="none" w:sz="0" w:space="0" w:color="auto"/>
        <w:left w:val="none" w:sz="0" w:space="0" w:color="auto"/>
        <w:bottom w:val="none" w:sz="0" w:space="0" w:color="auto"/>
        <w:right w:val="none" w:sz="0" w:space="0" w:color="auto"/>
      </w:divBdr>
    </w:div>
    <w:div w:id="1926113095">
      <w:bodyDiv w:val="1"/>
      <w:marLeft w:val="0"/>
      <w:marRight w:val="0"/>
      <w:marTop w:val="0"/>
      <w:marBottom w:val="0"/>
      <w:divBdr>
        <w:top w:val="none" w:sz="0" w:space="0" w:color="auto"/>
        <w:left w:val="none" w:sz="0" w:space="0" w:color="auto"/>
        <w:bottom w:val="none" w:sz="0" w:space="0" w:color="auto"/>
        <w:right w:val="none" w:sz="0" w:space="0" w:color="auto"/>
      </w:divBdr>
    </w:div>
    <w:div w:id="1933657515">
      <w:bodyDiv w:val="1"/>
      <w:marLeft w:val="0"/>
      <w:marRight w:val="0"/>
      <w:marTop w:val="0"/>
      <w:marBottom w:val="0"/>
      <w:divBdr>
        <w:top w:val="none" w:sz="0" w:space="0" w:color="auto"/>
        <w:left w:val="none" w:sz="0" w:space="0" w:color="auto"/>
        <w:bottom w:val="none" w:sz="0" w:space="0" w:color="auto"/>
        <w:right w:val="none" w:sz="0" w:space="0" w:color="auto"/>
      </w:divBdr>
    </w:div>
    <w:div w:id="2007130336">
      <w:bodyDiv w:val="1"/>
      <w:marLeft w:val="0"/>
      <w:marRight w:val="0"/>
      <w:marTop w:val="0"/>
      <w:marBottom w:val="0"/>
      <w:divBdr>
        <w:top w:val="none" w:sz="0" w:space="0" w:color="auto"/>
        <w:left w:val="none" w:sz="0" w:space="0" w:color="auto"/>
        <w:bottom w:val="none" w:sz="0" w:space="0" w:color="auto"/>
        <w:right w:val="none" w:sz="0" w:space="0" w:color="auto"/>
      </w:divBdr>
    </w:div>
    <w:div w:id="2090499157">
      <w:bodyDiv w:val="1"/>
      <w:marLeft w:val="0"/>
      <w:marRight w:val="0"/>
      <w:marTop w:val="0"/>
      <w:marBottom w:val="0"/>
      <w:divBdr>
        <w:top w:val="none" w:sz="0" w:space="0" w:color="auto"/>
        <w:left w:val="none" w:sz="0" w:space="0" w:color="auto"/>
        <w:bottom w:val="none" w:sz="0" w:space="0" w:color="auto"/>
        <w:right w:val="none" w:sz="0" w:space="0" w:color="auto"/>
      </w:divBdr>
    </w:div>
    <w:div w:id="2097630783">
      <w:bodyDiv w:val="1"/>
      <w:marLeft w:val="0"/>
      <w:marRight w:val="0"/>
      <w:marTop w:val="0"/>
      <w:marBottom w:val="0"/>
      <w:divBdr>
        <w:top w:val="none" w:sz="0" w:space="0" w:color="auto"/>
        <w:left w:val="none" w:sz="0" w:space="0" w:color="auto"/>
        <w:bottom w:val="none" w:sz="0" w:space="0" w:color="auto"/>
        <w:right w:val="none" w:sz="0" w:space="0" w:color="auto"/>
      </w:divBdr>
    </w:div>
    <w:div w:id="2102869702">
      <w:bodyDiv w:val="1"/>
      <w:marLeft w:val="0"/>
      <w:marRight w:val="0"/>
      <w:marTop w:val="0"/>
      <w:marBottom w:val="0"/>
      <w:divBdr>
        <w:top w:val="none" w:sz="0" w:space="0" w:color="auto"/>
        <w:left w:val="none" w:sz="0" w:space="0" w:color="auto"/>
        <w:bottom w:val="none" w:sz="0" w:space="0" w:color="auto"/>
        <w:right w:val="none" w:sz="0" w:space="0" w:color="auto"/>
      </w:divBdr>
    </w:div>
    <w:div w:id="2119059685">
      <w:bodyDiv w:val="1"/>
      <w:marLeft w:val="0"/>
      <w:marRight w:val="0"/>
      <w:marTop w:val="0"/>
      <w:marBottom w:val="0"/>
      <w:divBdr>
        <w:top w:val="none" w:sz="0" w:space="0" w:color="auto"/>
        <w:left w:val="none" w:sz="0" w:space="0" w:color="auto"/>
        <w:bottom w:val="none" w:sz="0" w:space="0" w:color="auto"/>
        <w:right w:val="none" w:sz="0" w:space="0" w:color="auto"/>
      </w:divBdr>
    </w:div>
    <w:div w:id="21219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image" Target="media/image10.png"/><Relationship Id="rId39" Type="http://schemas.openxmlformats.org/officeDocument/2006/relationships/hyperlink" Target="http://link.springer.com/bookseries/558"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5.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image" Target="media/image9.png"/><Relationship Id="rId33" Type="http://schemas.openxmlformats.org/officeDocument/2006/relationships/chart" Target="charts/chart14.xml"/><Relationship Id="rId38" Type="http://schemas.openxmlformats.org/officeDocument/2006/relationships/hyperlink" Target="http://link.springer.com/book/10.1007/978-3-642-12139-5"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chart" Target="charts/chart13.xml"/><Relationship Id="rId37" Type="http://schemas.openxmlformats.org/officeDocument/2006/relationships/hyperlink" Target="http://www.mendeley.com/research/transshipment-service-through-crossdocks-both-soft-hard-time-window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8.xml"/><Relationship Id="rId27" Type="http://schemas.openxmlformats.org/officeDocument/2006/relationships/image" Target="media/image11.png"/><Relationship Id="rId30" Type="http://schemas.openxmlformats.org/officeDocument/2006/relationships/chart" Target="charts/chart11.xml"/><Relationship Id="rId35" Type="http://schemas.openxmlformats.org/officeDocument/2006/relationships/chart" Target="charts/chart16.xml"/><Relationship Id="rId43"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Google%20Drive\FINAL_Paper\Rel%20Performance_Summ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63"/>
          <c:y val="0.13531578552681037"/>
          <c:w val="0.74122438337591912"/>
          <c:h val="0.69488852803905365"/>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'24_56_72_96'!$F$18:$F$20</c:f>
              <c:numCache>
                <c:formatCode>General</c:formatCode>
                <c:ptCount val="3"/>
                <c:pt idx="0">
                  <c:v>0.66596356095583542</c:v>
                </c:pt>
                <c:pt idx="1">
                  <c:v>0.7280137388759923</c:v>
                </c:pt>
                <c:pt idx="2">
                  <c:v>0.76227370918523651</c:v>
                </c:pt>
              </c:numCache>
            </c:numRef>
          </c:yVal>
        </c:ser>
        <c:ser>
          <c:idx val="1"/>
          <c:order val="1"/>
          <c:tx>
            <c:v>RC Class</c:v>
          </c:tx>
          <c:spPr>
            <a:ln w="28575">
              <a:noFill/>
            </a:ln>
          </c:spPr>
          <c:marker>
            <c:symbol val="square"/>
            <c:size val="5"/>
            <c:spPr>
              <a:solidFill>
                <a:schemeClr val="tx1"/>
              </a:solidFill>
              <a:ln>
                <a:solidFill>
                  <a:schemeClr val="tx1"/>
                </a:solidFill>
              </a:ln>
            </c:spPr>
          </c:marker>
          <c:yVal>
            <c:numRef>
              <c:f>'24_56_72_96'!$L$18:$L$20</c:f>
              <c:numCache>
                <c:formatCode>General</c:formatCode>
                <c:ptCount val="3"/>
                <c:pt idx="0">
                  <c:v>0.75498327104284024</c:v>
                </c:pt>
                <c:pt idx="1">
                  <c:v>0.80709748911519563</c:v>
                </c:pt>
                <c:pt idx="2">
                  <c:v>0.81765376888839902</c:v>
                </c:pt>
              </c:numCache>
            </c:numRef>
          </c:yVal>
        </c:ser>
        <c:ser>
          <c:idx val="2"/>
          <c:order val="2"/>
          <c:tx>
            <c:v>C Class</c:v>
          </c:tx>
          <c:spPr>
            <a:ln w="28575">
              <a:noFill/>
            </a:ln>
          </c:spPr>
          <c:marker>
            <c:symbol val="triangle"/>
            <c:size val="5"/>
            <c:spPr>
              <a:solidFill>
                <a:schemeClr val="tx1"/>
              </a:solidFill>
              <a:ln>
                <a:solidFill>
                  <a:schemeClr val="tx1">
                    <a:lumMod val="75000"/>
                    <a:lumOff val="25000"/>
                  </a:schemeClr>
                </a:solidFill>
              </a:ln>
            </c:spPr>
          </c:marker>
          <c:yVal>
            <c:numRef>
              <c:f>'24_56_72_96'!$S$18:$S$20</c:f>
              <c:numCache>
                <c:formatCode>General</c:formatCode>
                <c:ptCount val="3"/>
                <c:pt idx="0">
                  <c:v>0.73612713740705282</c:v>
                </c:pt>
                <c:pt idx="1">
                  <c:v>0.78709951860518512</c:v>
                </c:pt>
                <c:pt idx="2">
                  <c:v>0.79758401880791796</c:v>
                </c:pt>
              </c:numCache>
            </c:numRef>
          </c:yVal>
        </c:ser>
        <c:axId val="95870336"/>
        <c:axId val="95877376"/>
      </c:scatterChart>
      <c:valAx>
        <c:axId val="95870336"/>
        <c:scaling>
          <c:orientation val="minMax"/>
          <c:max val="3.5"/>
          <c:min val="0"/>
        </c:scaling>
        <c:axPos val="b"/>
        <c:title>
          <c:tx>
            <c:rich>
              <a:bodyPr/>
              <a:lstStyle/>
              <a:p>
                <a:pPr>
                  <a:defRPr/>
                </a:pPr>
                <a:r>
                  <a:rPr lang="en-US"/>
                  <a:t>Levels of Q</a:t>
                </a:r>
              </a:p>
            </c:rich>
          </c:tx>
          <c:layout>
            <c:manualLayout>
              <c:xMode val="edge"/>
              <c:yMode val="edge"/>
              <c:x val="0.50684917696546261"/>
              <c:y val="0.90979829855898808"/>
            </c:manualLayout>
          </c:layout>
        </c:title>
        <c:numFmt formatCode="#,##0;\-#,##0;;" sourceLinked="0"/>
        <c:tickLblPos val="nextTo"/>
        <c:crossAx val="95877376"/>
        <c:crosses val="autoZero"/>
        <c:crossBetween val="midCat"/>
        <c:majorUnit val="1"/>
        <c:minorUnit val="1"/>
      </c:valAx>
      <c:valAx>
        <c:axId val="95877376"/>
        <c:scaling>
          <c:orientation val="minMax"/>
          <c:min val="0.6000000000000006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5870336"/>
        <c:crosses val="autoZero"/>
        <c:crossBetween val="midCat"/>
      </c:valAx>
    </c:plotArea>
    <c:legend>
      <c:legendPos val="r"/>
      <c:layout>
        <c:manualLayout>
          <c:xMode val="edge"/>
          <c:yMode val="edge"/>
          <c:x val="0.78186866503471852"/>
          <c:y val="0.66528672242818365"/>
          <c:w val="0.2092649180441849"/>
          <c:h val="0.16084030352237247"/>
        </c:manualLayout>
      </c:layout>
    </c:legend>
    <c:plotVisOnly val="1"/>
    <c:dispBlanksAs val="gap"/>
  </c:chart>
  <c:spPr>
    <a:ln>
      <a:noFill/>
    </a:ln>
  </c:spPr>
  <c:txPr>
    <a:bodyPr/>
    <a:lstStyle/>
    <a:p>
      <a:pPr>
        <a:defRPr sz="8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6"/>
          <c:w val="0.74122438337591912"/>
          <c:h val="0.69488852803905343"/>
        </c:manualLayout>
      </c:layout>
      <c:scatterChart>
        <c:scatterStyle val="lineMarker"/>
        <c:ser>
          <c:idx val="0"/>
          <c:order val="0"/>
          <c:tx>
            <c:v>DM1 Class</c:v>
          </c:tx>
          <c:spPr>
            <a:ln w="28575">
              <a:noFill/>
            </a:ln>
          </c:spPr>
          <c:marker>
            <c:symbol val="diamond"/>
            <c:size val="6"/>
            <c:spPr>
              <a:solidFill>
                <a:schemeClr val="tx1"/>
              </a:solidFill>
              <a:ln>
                <a:solidFill>
                  <a:schemeClr val="tx1"/>
                </a:solidFill>
              </a:ln>
            </c:spPr>
          </c:marker>
          <c:yVal>
            <c:numRef>
              <c:f>FINAL_nxn!$F$41:$F$43</c:f>
              <c:numCache>
                <c:formatCode>General</c:formatCode>
                <c:ptCount val="3"/>
                <c:pt idx="0">
                  <c:v>0.64131631796533151</c:v>
                </c:pt>
                <c:pt idx="1">
                  <c:v>0.67959978141221999</c:v>
                </c:pt>
                <c:pt idx="2">
                  <c:v>0.69569349362405331</c:v>
                </c:pt>
              </c:numCache>
            </c:numRef>
          </c:yVal>
        </c:ser>
        <c:ser>
          <c:idx val="2"/>
          <c:order val="1"/>
          <c:tx>
            <c:v>DM2 Class</c:v>
          </c:tx>
          <c:spPr>
            <a:ln w="28575">
              <a:noFill/>
            </a:ln>
          </c:spPr>
          <c:marker>
            <c:symbol val="triangle"/>
            <c:size val="5"/>
            <c:spPr>
              <a:solidFill>
                <a:schemeClr val="tx1"/>
              </a:solidFill>
              <a:ln>
                <a:solidFill>
                  <a:schemeClr val="tx1">
                    <a:lumMod val="75000"/>
                    <a:lumOff val="25000"/>
                  </a:schemeClr>
                </a:solidFill>
              </a:ln>
            </c:spPr>
          </c:marker>
          <c:yVal>
            <c:numRef>
              <c:f>FINAL_nxn!$L$41:$L$43</c:f>
              <c:numCache>
                <c:formatCode>General</c:formatCode>
                <c:ptCount val="3"/>
                <c:pt idx="0">
                  <c:v>0.69286312589495869</c:v>
                </c:pt>
                <c:pt idx="1">
                  <c:v>0.71410043460977801</c:v>
                </c:pt>
                <c:pt idx="2">
                  <c:v>0.72475372521623049</c:v>
                </c:pt>
              </c:numCache>
            </c:numRef>
          </c:yVal>
        </c:ser>
        <c:ser>
          <c:idx val="1"/>
          <c:order val="2"/>
          <c:tx>
            <c:v>DM3 Class</c:v>
          </c:tx>
          <c:spPr>
            <a:ln w="28575">
              <a:noFill/>
            </a:ln>
          </c:spPr>
          <c:marker>
            <c:symbol val="square"/>
            <c:size val="5"/>
            <c:spPr>
              <a:solidFill>
                <a:schemeClr val="tx1"/>
              </a:solidFill>
              <a:ln>
                <a:solidFill>
                  <a:sysClr val="windowText" lastClr="000000"/>
                </a:solidFill>
              </a:ln>
            </c:spPr>
          </c:marker>
          <c:yVal>
            <c:numRef>
              <c:f>FINAL_nxn!$R$41:$R$43</c:f>
              <c:numCache>
                <c:formatCode>General</c:formatCode>
                <c:ptCount val="3"/>
                <c:pt idx="0">
                  <c:v>0.73117712544300995</c:v>
                </c:pt>
                <c:pt idx="1">
                  <c:v>0.7768626963428078</c:v>
                </c:pt>
                <c:pt idx="2">
                  <c:v>0.77568413748119802</c:v>
                </c:pt>
              </c:numCache>
            </c:numRef>
          </c:yVal>
        </c:ser>
        <c:axId val="107875328"/>
        <c:axId val="107886080"/>
      </c:scatterChart>
      <c:valAx>
        <c:axId val="107875328"/>
        <c:scaling>
          <c:orientation val="minMax"/>
          <c:max val="3.5"/>
          <c:min val="0"/>
        </c:scaling>
        <c:axPos val="b"/>
        <c:title>
          <c:tx>
            <c:rich>
              <a:bodyPr/>
              <a:lstStyle/>
              <a:p>
                <a:pPr>
                  <a:defRPr/>
                </a:pPr>
                <a:r>
                  <a:rPr lang="en-US"/>
                  <a:t>Levels of Q</a:t>
                </a:r>
              </a:p>
            </c:rich>
          </c:tx>
          <c:layout>
            <c:manualLayout>
              <c:xMode val="edge"/>
              <c:yMode val="edge"/>
              <c:x val="0.50684917696546261"/>
              <c:y val="0.9097982985589893"/>
            </c:manualLayout>
          </c:layout>
        </c:title>
        <c:numFmt formatCode="#,##0;\-#,##0;;" sourceLinked="0"/>
        <c:tickLblPos val="nextTo"/>
        <c:crossAx val="107886080"/>
        <c:crosses val="autoZero"/>
        <c:crossBetween val="midCat"/>
        <c:majorUnit val="1"/>
        <c:minorUnit val="1"/>
      </c:valAx>
      <c:valAx>
        <c:axId val="107886080"/>
        <c:scaling>
          <c:orientation val="minMax"/>
          <c:min val="0.5"/>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7875328"/>
        <c:crosses val="autoZero"/>
        <c:crossBetween val="midCat"/>
      </c:valAx>
    </c:plotArea>
    <c:legend>
      <c:legendPos val="r"/>
      <c:layout>
        <c:manualLayout>
          <c:xMode val="edge"/>
          <c:yMode val="edge"/>
          <c:x val="0.78186866503471852"/>
          <c:y val="0.62897025031404596"/>
          <c:w val="0.21399472419185844"/>
          <c:h val="0.18678064074675491"/>
        </c:manualLayout>
      </c:layout>
    </c:legend>
    <c:plotVisOnly val="1"/>
    <c:dispBlanksAs val="gap"/>
  </c:chart>
  <c:spPr>
    <a:ln>
      <a:noFill/>
    </a:ln>
  </c:spPr>
  <c:txPr>
    <a:bodyPr/>
    <a:lstStyle/>
    <a:p>
      <a:pPr>
        <a:defRPr sz="8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6"/>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FINAL_nxn!$F$23:$F$25</c:f>
              <c:numCache>
                <c:formatCode>General</c:formatCode>
                <c:ptCount val="3"/>
                <c:pt idx="0">
                  <c:v>0.63661490184203551</c:v>
                </c:pt>
                <c:pt idx="1">
                  <c:v>0.646923307905931</c:v>
                </c:pt>
                <c:pt idx="2">
                  <c:v>0.62111926197398504</c:v>
                </c:pt>
              </c:numCache>
            </c:numRef>
          </c:yVal>
        </c:ser>
        <c:ser>
          <c:idx val="2"/>
          <c:order val="1"/>
          <c:tx>
            <c:v>C Class</c:v>
          </c:tx>
          <c:spPr>
            <a:ln w="28575">
              <a:noFill/>
            </a:ln>
          </c:spPr>
          <c:marker>
            <c:symbol val="triangle"/>
            <c:size val="5"/>
            <c:spPr>
              <a:solidFill>
                <a:schemeClr val="tx1"/>
              </a:solidFill>
              <a:ln>
                <a:solidFill>
                  <a:schemeClr val="tx1">
                    <a:lumMod val="75000"/>
                    <a:lumOff val="25000"/>
                  </a:schemeClr>
                </a:solidFill>
              </a:ln>
            </c:spPr>
          </c:marker>
          <c:yVal>
            <c:numRef>
              <c:f>FINAL_nxn!$L$23:$L$25</c:f>
              <c:numCache>
                <c:formatCode>General</c:formatCode>
                <c:ptCount val="3"/>
                <c:pt idx="0">
                  <c:v>0.79085500688951282</c:v>
                </c:pt>
                <c:pt idx="1">
                  <c:v>0.80132682562622159</c:v>
                </c:pt>
                <c:pt idx="2">
                  <c:v>0.79119458775536766</c:v>
                </c:pt>
              </c:numCache>
            </c:numRef>
          </c:yVal>
        </c:ser>
        <c:axId val="107918848"/>
        <c:axId val="107929600"/>
      </c:scatterChart>
      <c:valAx>
        <c:axId val="107918848"/>
        <c:scaling>
          <c:orientation val="minMax"/>
          <c:max val="3.5"/>
          <c:min val="0"/>
        </c:scaling>
        <c:axPos val="b"/>
        <c:title>
          <c:tx>
            <c:rich>
              <a:bodyPr/>
              <a:lstStyle/>
              <a:p>
                <a:pPr>
                  <a:defRPr/>
                </a:pPr>
                <a:r>
                  <a:rPr lang="en-US"/>
                  <a:t>Levels of T</a:t>
                </a:r>
              </a:p>
            </c:rich>
          </c:tx>
          <c:layout>
            <c:manualLayout>
              <c:xMode val="edge"/>
              <c:yMode val="edge"/>
              <c:x val="0.50684917696546261"/>
              <c:y val="0.9097982985589893"/>
            </c:manualLayout>
          </c:layout>
        </c:title>
        <c:numFmt formatCode="#,##0;\-#,##0;;" sourceLinked="0"/>
        <c:tickLblPos val="nextTo"/>
        <c:crossAx val="107929600"/>
        <c:crosses val="autoZero"/>
        <c:crossBetween val="midCat"/>
        <c:majorUnit val="1"/>
        <c:minorUnit val="1"/>
      </c:valAx>
      <c:valAx>
        <c:axId val="107929600"/>
        <c:scaling>
          <c:orientation val="minMax"/>
          <c:min val="0.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7918848"/>
        <c:crosses val="autoZero"/>
        <c:crossBetween val="midCat"/>
      </c:valAx>
    </c:plotArea>
    <c:legend>
      <c:legendPos val="r"/>
      <c:layout>
        <c:manualLayout>
          <c:xMode val="edge"/>
          <c:yMode val="edge"/>
          <c:x val="0.78186866503471852"/>
          <c:y val="0.66528672242818476"/>
          <c:w val="0.2092649180441849"/>
          <c:h val="0.16084030352237247"/>
        </c:manualLayout>
      </c:layout>
    </c:legend>
    <c:plotVisOnly val="1"/>
    <c:dispBlanksAs val="gap"/>
  </c:chart>
  <c:spPr>
    <a:ln>
      <a:noFill/>
    </a:ln>
  </c:spPr>
  <c:txPr>
    <a:bodyPr/>
    <a:lstStyle/>
    <a:p>
      <a:pPr>
        <a:defRPr sz="8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9874259095096591"/>
          <c:y val="0.13531578552681062"/>
          <c:w val="0.74122438337591912"/>
          <c:h val="0.69488852803905343"/>
        </c:manualLayout>
      </c:layout>
      <c:scatterChart>
        <c:scatterStyle val="lineMarker"/>
        <c:ser>
          <c:idx val="0"/>
          <c:order val="0"/>
          <c:tx>
            <c:v>DM1 Class</c:v>
          </c:tx>
          <c:spPr>
            <a:ln w="28575">
              <a:noFill/>
            </a:ln>
          </c:spPr>
          <c:marker>
            <c:symbol val="diamond"/>
            <c:size val="6"/>
            <c:spPr>
              <a:solidFill>
                <a:schemeClr val="tx1"/>
              </a:solidFill>
              <a:ln>
                <a:solidFill>
                  <a:schemeClr val="tx1"/>
                </a:solidFill>
              </a:ln>
            </c:spPr>
          </c:marker>
          <c:yVal>
            <c:numRef>
              <c:f>FINAL_nxn!$F$44:$F$46</c:f>
              <c:numCache>
                <c:formatCode>General</c:formatCode>
                <c:ptCount val="3"/>
                <c:pt idx="0">
                  <c:v>0.68114511516854082</c:v>
                </c:pt>
                <c:pt idx="1">
                  <c:v>0.67574520598402565</c:v>
                </c:pt>
                <c:pt idx="2">
                  <c:v>0.65971927184904144</c:v>
                </c:pt>
              </c:numCache>
            </c:numRef>
          </c:yVal>
        </c:ser>
        <c:ser>
          <c:idx val="2"/>
          <c:order val="1"/>
          <c:tx>
            <c:v>DM2 Class</c:v>
          </c:tx>
          <c:spPr>
            <a:ln w="28575">
              <a:noFill/>
            </a:ln>
          </c:spPr>
          <c:marker>
            <c:symbol val="triangle"/>
            <c:size val="5"/>
            <c:spPr>
              <a:solidFill>
                <a:schemeClr val="tx1"/>
              </a:solidFill>
              <a:ln>
                <a:solidFill>
                  <a:schemeClr val="tx1">
                    <a:lumMod val="75000"/>
                    <a:lumOff val="25000"/>
                  </a:schemeClr>
                </a:solidFill>
              </a:ln>
            </c:spPr>
          </c:marker>
          <c:yVal>
            <c:numRef>
              <c:f>FINAL_nxn!$L$44:$L$46</c:f>
              <c:numCache>
                <c:formatCode>General</c:formatCode>
                <c:ptCount val="3"/>
                <c:pt idx="0">
                  <c:v>0.71451977699717395</c:v>
                </c:pt>
                <c:pt idx="1">
                  <c:v>0.71633004295973302</c:v>
                </c:pt>
                <c:pt idx="2">
                  <c:v>0.70086746576406156</c:v>
                </c:pt>
              </c:numCache>
            </c:numRef>
          </c:yVal>
        </c:ser>
        <c:ser>
          <c:idx val="1"/>
          <c:order val="2"/>
          <c:tx>
            <c:v>DM3 Class</c:v>
          </c:tx>
          <c:spPr>
            <a:ln w="28575">
              <a:noFill/>
            </a:ln>
          </c:spPr>
          <c:marker>
            <c:symbol val="square"/>
            <c:size val="5"/>
            <c:spPr>
              <a:solidFill>
                <a:schemeClr val="tx1"/>
              </a:solidFill>
              <a:ln>
                <a:solidFill>
                  <a:sysClr val="windowText" lastClr="000000"/>
                </a:solidFill>
              </a:ln>
            </c:spPr>
          </c:marker>
          <c:yVal>
            <c:numRef>
              <c:f>FINAL_nxn!$R$44:$R$46</c:f>
              <c:numCache>
                <c:formatCode>General</c:formatCode>
                <c:ptCount val="3"/>
                <c:pt idx="0">
                  <c:v>0.74553997093160596</c:v>
                </c:pt>
                <c:pt idx="1">
                  <c:v>0.78029995135447683</c:v>
                </c:pt>
                <c:pt idx="2">
                  <c:v>0.75788403698093065</c:v>
                </c:pt>
              </c:numCache>
            </c:numRef>
          </c:yVal>
        </c:ser>
        <c:axId val="107963136"/>
        <c:axId val="107965440"/>
      </c:scatterChart>
      <c:valAx>
        <c:axId val="107963136"/>
        <c:scaling>
          <c:orientation val="minMax"/>
          <c:max val="3.5"/>
          <c:min val="0"/>
        </c:scaling>
        <c:axPos val="b"/>
        <c:title>
          <c:tx>
            <c:rich>
              <a:bodyPr/>
              <a:lstStyle/>
              <a:p>
                <a:pPr>
                  <a:defRPr/>
                </a:pPr>
                <a:r>
                  <a:rPr lang="en-US"/>
                  <a:t>Levels of T</a:t>
                </a:r>
              </a:p>
            </c:rich>
          </c:tx>
          <c:layout>
            <c:manualLayout>
              <c:xMode val="edge"/>
              <c:yMode val="edge"/>
              <c:x val="0.50684917696546261"/>
              <c:y val="0.90979829855898975"/>
            </c:manualLayout>
          </c:layout>
        </c:title>
        <c:numFmt formatCode="#,##0;\-#,##0;;" sourceLinked="0"/>
        <c:tickLblPos val="nextTo"/>
        <c:crossAx val="107965440"/>
        <c:crosses val="autoZero"/>
        <c:crossBetween val="midCat"/>
        <c:majorUnit val="1"/>
        <c:minorUnit val="1"/>
      </c:valAx>
      <c:valAx>
        <c:axId val="107965440"/>
        <c:scaling>
          <c:orientation val="minMax"/>
          <c:min val="0.5"/>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7963136"/>
        <c:crosses val="autoZero"/>
        <c:crossBetween val="midCat"/>
      </c:valAx>
    </c:plotArea>
    <c:legend>
      <c:legendPos val="r"/>
      <c:layout>
        <c:manualLayout>
          <c:xMode val="edge"/>
          <c:yMode val="edge"/>
          <c:x val="0.78186866503471852"/>
          <c:y val="0.62897025031404641"/>
          <c:w val="0.21399472419185844"/>
          <c:h val="0.18678064074675491"/>
        </c:manualLayout>
      </c:layout>
    </c:legend>
    <c:plotVisOnly val="1"/>
    <c:dispBlanksAs val="gap"/>
  </c:chart>
  <c:spPr>
    <a:ln>
      <a:noFill/>
    </a:ln>
  </c:spPr>
  <c:txPr>
    <a:bodyPr/>
    <a:lstStyle/>
    <a:p>
      <a:pPr>
        <a:defRPr sz="8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62"/>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FINAL_nxn!$F$26:$F$28</c:f>
              <c:numCache>
                <c:formatCode>General</c:formatCode>
                <c:ptCount val="3"/>
                <c:pt idx="0">
                  <c:v>0.87529040802650881</c:v>
                </c:pt>
                <c:pt idx="1">
                  <c:v>0.60524475923949883</c:v>
                </c:pt>
                <c:pt idx="2">
                  <c:v>0.42412230445594873</c:v>
                </c:pt>
              </c:numCache>
            </c:numRef>
          </c:yVal>
        </c:ser>
        <c:ser>
          <c:idx val="2"/>
          <c:order val="1"/>
          <c:tx>
            <c:v>C Class</c:v>
          </c:tx>
          <c:spPr>
            <a:ln w="28575">
              <a:noFill/>
            </a:ln>
          </c:spPr>
          <c:marker>
            <c:symbol val="triangle"/>
            <c:size val="5"/>
            <c:spPr>
              <a:solidFill>
                <a:schemeClr val="tx1"/>
              </a:solidFill>
              <a:ln>
                <a:solidFill>
                  <a:schemeClr val="tx1">
                    <a:lumMod val="75000"/>
                    <a:lumOff val="25000"/>
                  </a:schemeClr>
                </a:solidFill>
              </a:ln>
            </c:spPr>
          </c:marker>
          <c:yVal>
            <c:numRef>
              <c:f>FINAL_nxn!$L$26:$L$28</c:f>
              <c:numCache>
                <c:formatCode>General</c:formatCode>
                <c:ptCount val="3"/>
                <c:pt idx="0">
                  <c:v>0.996010519495793</c:v>
                </c:pt>
                <c:pt idx="1">
                  <c:v>0.80723087643558766</c:v>
                </c:pt>
                <c:pt idx="2">
                  <c:v>0.58013502433972497</c:v>
                </c:pt>
              </c:numCache>
            </c:numRef>
          </c:yVal>
        </c:ser>
        <c:axId val="107990016"/>
        <c:axId val="108008960"/>
      </c:scatterChart>
      <c:valAx>
        <c:axId val="107990016"/>
        <c:scaling>
          <c:orientation val="minMax"/>
          <c:max val="3.5"/>
          <c:min val="0"/>
        </c:scaling>
        <c:axPos val="b"/>
        <c:title>
          <c:tx>
            <c:rich>
              <a:bodyPr/>
              <a:lstStyle/>
              <a:p>
                <a:pPr>
                  <a:defRPr/>
                </a:pPr>
                <a:r>
                  <a:rPr lang="en-US"/>
                  <a:t>Levels of D</a:t>
                </a:r>
              </a:p>
            </c:rich>
          </c:tx>
          <c:layout>
            <c:manualLayout>
              <c:xMode val="edge"/>
              <c:yMode val="edge"/>
              <c:x val="0.50684917696546261"/>
              <c:y val="0.90979829855898975"/>
            </c:manualLayout>
          </c:layout>
        </c:title>
        <c:numFmt formatCode="#,##0;\-#,##0;;" sourceLinked="0"/>
        <c:tickLblPos val="nextTo"/>
        <c:crossAx val="108008960"/>
        <c:crosses val="autoZero"/>
        <c:crossBetween val="midCat"/>
        <c:majorUnit val="1"/>
        <c:minorUnit val="1"/>
      </c:valAx>
      <c:valAx>
        <c:axId val="108008960"/>
        <c:scaling>
          <c:orientation val="minMax"/>
          <c:min val="0.2"/>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7990016"/>
        <c:crosses val="autoZero"/>
        <c:crossBetween val="midCat"/>
      </c:valAx>
    </c:plotArea>
    <c:legend>
      <c:legendPos val="r"/>
      <c:layout>
        <c:manualLayout>
          <c:xMode val="edge"/>
          <c:yMode val="edge"/>
          <c:x val="0.78186866503471852"/>
          <c:y val="0.69122705965256293"/>
          <c:w val="0.2092649180441849"/>
          <c:h val="0.13489996629798706"/>
        </c:manualLayout>
      </c:layout>
    </c:legend>
    <c:plotVisOnly val="1"/>
    <c:dispBlanksAs val="gap"/>
  </c:chart>
  <c:spPr>
    <a:ln>
      <a:noFill/>
    </a:ln>
  </c:spPr>
  <c:txPr>
    <a:bodyPr/>
    <a:lstStyle/>
    <a:p>
      <a:pPr>
        <a:defRPr sz="800"/>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73"/>
          <c:w val="0.74122438337591912"/>
          <c:h val="0.69488852803905343"/>
        </c:manualLayout>
      </c:layout>
      <c:scatterChart>
        <c:scatterStyle val="lineMarker"/>
        <c:ser>
          <c:idx val="0"/>
          <c:order val="0"/>
          <c:tx>
            <c:v>DM1 Class</c:v>
          </c:tx>
          <c:spPr>
            <a:ln w="28575">
              <a:noFill/>
            </a:ln>
          </c:spPr>
          <c:marker>
            <c:symbol val="diamond"/>
            <c:size val="6"/>
            <c:spPr>
              <a:solidFill>
                <a:schemeClr val="tx1"/>
              </a:solidFill>
              <a:ln>
                <a:solidFill>
                  <a:schemeClr val="tx1"/>
                </a:solidFill>
              </a:ln>
            </c:spPr>
          </c:marker>
          <c:yVal>
            <c:numRef>
              <c:f>FINAL_nxn!$F$47:$F$49</c:f>
              <c:numCache>
                <c:formatCode>General</c:formatCode>
                <c:ptCount val="3"/>
                <c:pt idx="0">
                  <c:v>0.85969722938642945</c:v>
                </c:pt>
                <c:pt idx="1">
                  <c:v>0.66823648298313965</c:v>
                </c:pt>
                <c:pt idx="2">
                  <c:v>0.48867588063203732</c:v>
                </c:pt>
              </c:numCache>
            </c:numRef>
          </c:yVal>
        </c:ser>
        <c:ser>
          <c:idx val="2"/>
          <c:order val="1"/>
          <c:tx>
            <c:v>DM2 Class</c:v>
          </c:tx>
          <c:spPr>
            <a:ln w="28575">
              <a:noFill/>
            </a:ln>
          </c:spPr>
          <c:marker>
            <c:symbol val="triangle"/>
            <c:size val="5"/>
            <c:spPr>
              <a:solidFill>
                <a:schemeClr val="tx1"/>
              </a:solidFill>
              <a:ln>
                <a:solidFill>
                  <a:schemeClr val="tx1">
                    <a:lumMod val="75000"/>
                    <a:lumOff val="25000"/>
                  </a:schemeClr>
                </a:solidFill>
              </a:ln>
            </c:spPr>
          </c:marker>
          <c:yVal>
            <c:numRef>
              <c:f>FINAL_nxn!$L$47:$L$49</c:f>
              <c:numCache>
                <c:formatCode>General</c:formatCode>
                <c:ptCount val="3"/>
                <c:pt idx="0">
                  <c:v>0.93199750163968464</c:v>
                </c:pt>
                <c:pt idx="1">
                  <c:v>0.70628405247207782</c:v>
                </c:pt>
                <c:pt idx="2">
                  <c:v>0.49343573160920873</c:v>
                </c:pt>
              </c:numCache>
            </c:numRef>
          </c:yVal>
        </c:ser>
        <c:ser>
          <c:idx val="1"/>
          <c:order val="2"/>
          <c:tx>
            <c:v>DM3 Class</c:v>
          </c:tx>
          <c:spPr>
            <a:ln w="28575">
              <a:noFill/>
            </a:ln>
          </c:spPr>
          <c:marker>
            <c:symbol val="square"/>
            <c:size val="5"/>
            <c:spPr>
              <a:solidFill>
                <a:schemeClr val="tx1"/>
              </a:solidFill>
              <a:ln>
                <a:solidFill>
                  <a:sysClr val="windowText" lastClr="000000"/>
                </a:solidFill>
              </a:ln>
            </c:spPr>
          </c:marker>
          <c:yVal>
            <c:numRef>
              <c:f>FINAL_nxn!$R$47:$R$49</c:f>
              <c:numCache>
                <c:formatCode>General</c:formatCode>
                <c:ptCount val="3"/>
                <c:pt idx="0">
                  <c:v>1.0152566602573398</c:v>
                </c:pt>
                <c:pt idx="1">
                  <c:v>0.74419291805740895</c:v>
                </c:pt>
                <c:pt idx="2">
                  <c:v>0.52427438095225709</c:v>
                </c:pt>
              </c:numCache>
            </c:numRef>
          </c:yVal>
        </c:ser>
        <c:axId val="108042496"/>
        <c:axId val="108057344"/>
      </c:scatterChart>
      <c:valAx>
        <c:axId val="108042496"/>
        <c:scaling>
          <c:orientation val="minMax"/>
          <c:max val="3.5"/>
          <c:min val="0"/>
        </c:scaling>
        <c:axPos val="b"/>
        <c:title>
          <c:tx>
            <c:rich>
              <a:bodyPr/>
              <a:lstStyle/>
              <a:p>
                <a:pPr>
                  <a:defRPr/>
                </a:pPr>
                <a:r>
                  <a:rPr lang="en-US"/>
                  <a:t>Levels of D</a:t>
                </a:r>
              </a:p>
            </c:rich>
          </c:tx>
          <c:layout>
            <c:manualLayout>
              <c:xMode val="edge"/>
              <c:yMode val="edge"/>
              <c:x val="0.50684917696546261"/>
              <c:y val="0.90979829855899008"/>
            </c:manualLayout>
          </c:layout>
        </c:title>
        <c:numFmt formatCode="#,##0;\-#,##0;;" sourceLinked="0"/>
        <c:tickLblPos val="nextTo"/>
        <c:crossAx val="108057344"/>
        <c:crosses val="autoZero"/>
        <c:crossBetween val="midCat"/>
        <c:majorUnit val="1"/>
        <c:minorUnit val="1"/>
      </c:valAx>
      <c:valAx>
        <c:axId val="108057344"/>
        <c:scaling>
          <c:orientation val="minMax"/>
          <c:min val="0.2"/>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8042496"/>
        <c:crosses val="autoZero"/>
        <c:crossBetween val="midCat"/>
      </c:valAx>
    </c:plotArea>
    <c:legend>
      <c:legendPos val="r"/>
      <c:layout>
        <c:manualLayout>
          <c:xMode val="edge"/>
          <c:yMode val="edge"/>
          <c:x val="0.78186866503471852"/>
          <c:y val="0.66528672242818421"/>
          <c:w val="0.21399472419185844"/>
          <c:h val="0.15046416863261741"/>
        </c:manualLayout>
      </c:layout>
    </c:legend>
    <c:plotVisOnly val="1"/>
    <c:dispBlanksAs val="gap"/>
  </c:chart>
  <c:spPr>
    <a:ln>
      <a:noFill/>
    </a:ln>
  </c:spPr>
  <c:txPr>
    <a:bodyPr/>
    <a:lstStyle/>
    <a:p>
      <a:pPr>
        <a:defRPr sz="800"/>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73"/>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FINAL_nxn!$F$32:$F$34</c:f>
              <c:numCache>
                <c:formatCode>General</c:formatCode>
                <c:ptCount val="3"/>
                <c:pt idx="0">
                  <c:v>0.6452048324058024</c:v>
                </c:pt>
                <c:pt idx="1">
                  <c:v>0.63484432042436945</c:v>
                </c:pt>
                <c:pt idx="2">
                  <c:v>0.62460831889178781</c:v>
                </c:pt>
              </c:numCache>
            </c:numRef>
          </c:yVal>
        </c:ser>
        <c:ser>
          <c:idx val="2"/>
          <c:order val="1"/>
          <c:tx>
            <c:v>C Class</c:v>
          </c:tx>
          <c:spPr>
            <a:ln w="28575">
              <a:noFill/>
            </a:ln>
          </c:spPr>
          <c:marker>
            <c:symbol val="triangle"/>
            <c:size val="5"/>
            <c:spPr>
              <a:solidFill>
                <a:schemeClr val="tx1"/>
              </a:solidFill>
              <a:ln>
                <a:solidFill>
                  <a:schemeClr val="tx1">
                    <a:lumMod val="75000"/>
                    <a:lumOff val="25000"/>
                  </a:schemeClr>
                </a:solidFill>
              </a:ln>
            </c:spPr>
          </c:marker>
          <c:yVal>
            <c:numRef>
              <c:f>FINAL_nxn!$L$32:$L$34</c:f>
              <c:numCache>
                <c:formatCode>General</c:formatCode>
                <c:ptCount val="3"/>
                <c:pt idx="0">
                  <c:v>0.80733882543859881</c:v>
                </c:pt>
                <c:pt idx="1">
                  <c:v>0.795170111454925</c:v>
                </c:pt>
                <c:pt idx="2">
                  <c:v>0.78086748337758005</c:v>
                </c:pt>
              </c:numCache>
            </c:numRef>
          </c:yVal>
        </c:ser>
        <c:axId val="108147456"/>
        <c:axId val="108149760"/>
      </c:scatterChart>
      <c:valAx>
        <c:axId val="108147456"/>
        <c:scaling>
          <c:orientation val="minMax"/>
          <c:max val="3.5"/>
          <c:min val="0"/>
        </c:scaling>
        <c:axPos val="b"/>
        <c:title>
          <c:tx>
            <c:rich>
              <a:bodyPr/>
              <a:lstStyle/>
              <a:p>
                <a:pPr>
                  <a:defRPr/>
                </a:pPr>
                <a:r>
                  <a:rPr lang="en-US"/>
                  <a:t>Levels of s</a:t>
                </a:r>
              </a:p>
            </c:rich>
          </c:tx>
          <c:layout>
            <c:manualLayout>
              <c:xMode val="edge"/>
              <c:yMode val="edge"/>
              <c:x val="0.50684917696546261"/>
              <c:y val="0.90979829855899008"/>
            </c:manualLayout>
          </c:layout>
        </c:title>
        <c:numFmt formatCode="#,##0;\-#,##0;;" sourceLinked="0"/>
        <c:tickLblPos val="nextTo"/>
        <c:crossAx val="108149760"/>
        <c:crosses val="autoZero"/>
        <c:crossBetween val="midCat"/>
        <c:majorUnit val="1"/>
        <c:minorUnit val="1"/>
      </c:valAx>
      <c:valAx>
        <c:axId val="108149760"/>
        <c:scaling>
          <c:orientation val="minMax"/>
          <c:min val="0.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8147456"/>
        <c:crosses val="autoZero"/>
        <c:crossBetween val="midCat"/>
      </c:valAx>
    </c:plotArea>
    <c:legend>
      <c:legendPos val="r"/>
      <c:layout>
        <c:manualLayout>
          <c:xMode val="edge"/>
          <c:yMode val="edge"/>
          <c:x val="0.78186866503471852"/>
          <c:y val="0.69122705965256293"/>
          <c:w val="0.2092649180441849"/>
          <c:h val="0.13489996629798706"/>
        </c:manualLayout>
      </c:layout>
    </c:legend>
    <c:plotVisOnly val="1"/>
    <c:dispBlanksAs val="gap"/>
  </c:chart>
  <c:spPr>
    <a:ln>
      <a:noFill/>
    </a:ln>
  </c:spPr>
  <c:txPr>
    <a:bodyPr/>
    <a:lstStyle/>
    <a:p>
      <a:pPr>
        <a:defRPr sz="800"/>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78"/>
          <c:w val="0.74122438337591912"/>
          <c:h val="0.69488852803905343"/>
        </c:manualLayout>
      </c:layout>
      <c:scatterChart>
        <c:scatterStyle val="lineMarker"/>
        <c:ser>
          <c:idx val="0"/>
          <c:order val="0"/>
          <c:tx>
            <c:v>DM1 Class</c:v>
          </c:tx>
          <c:spPr>
            <a:ln w="28575">
              <a:noFill/>
            </a:ln>
          </c:spPr>
          <c:marker>
            <c:symbol val="diamond"/>
            <c:size val="6"/>
            <c:spPr>
              <a:solidFill>
                <a:schemeClr val="tx1"/>
              </a:solidFill>
              <a:ln>
                <a:solidFill>
                  <a:schemeClr val="tx1"/>
                </a:solidFill>
              </a:ln>
            </c:spPr>
          </c:marker>
          <c:yVal>
            <c:numRef>
              <c:f>FINAL_nxn!$F$53:$F$55</c:f>
              <c:numCache>
                <c:formatCode>General</c:formatCode>
                <c:ptCount val="3"/>
                <c:pt idx="0">
                  <c:v>0.67347388977244649</c:v>
                </c:pt>
                <c:pt idx="1">
                  <c:v>0.67210408289646895</c:v>
                </c:pt>
                <c:pt idx="2">
                  <c:v>0.67103162033268782</c:v>
                </c:pt>
              </c:numCache>
            </c:numRef>
          </c:yVal>
        </c:ser>
        <c:ser>
          <c:idx val="2"/>
          <c:order val="1"/>
          <c:tx>
            <c:v>DM2 Class</c:v>
          </c:tx>
          <c:spPr>
            <a:ln w="28575">
              <a:noFill/>
            </a:ln>
          </c:spPr>
          <c:marker>
            <c:symbol val="triangle"/>
            <c:size val="5"/>
            <c:spPr>
              <a:solidFill>
                <a:schemeClr val="tx1"/>
              </a:solidFill>
              <a:ln>
                <a:solidFill>
                  <a:schemeClr val="tx1">
                    <a:lumMod val="75000"/>
                    <a:lumOff val="25000"/>
                  </a:schemeClr>
                </a:solidFill>
              </a:ln>
            </c:spPr>
          </c:marker>
          <c:yVal>
            <c:numRef>
              <c:f>FINAL_nxn!$L$53:$L$55</c:f>
              <c:numCache>
                <c:formatCode>General</c:formatCode>
                <c:ptCount val="3"/>
                <c:pt idx="0">
                  <c:v>0.71826562822425</c:v>
                </c:pt>
                <c:pt idx="1">
                  <c:v>0.71198583209706146</c:v>
                </c:pt>
                <c:pt idx="2">
                  <c:v>0.70146582539965896</c:v>
                </c:pt>
              </c:numCache>
            </c:numRef>
          </c:yVal>
        </c:ser>
        <c:ser>
          <c:idx val="1"/>
          <c:order val="2"/>
          <c:tx>
            <c:v>DM3 Class</c:v>
          </c:tx>
          <c:spPr>
            <a:ln w="28575">
              <a:noFill/>
            </a:ln>
          </c:spPr>
          <c:marker>
            <c:symbol val="square"/>
            <c:size val="5"/>
            <c:spPr>
              <a:solidFill>
                <a:schemeClr val="tx1"/>
              </a:solidFill>
              <a:ln>
                <a:solidFill>
                  <a:sysClr val="windowText" lastClr="000000"/>
                </a:solidFill>
              </a:ln>
            </c:spPr>
          </c:marker>
          <c:yVal>
            <c:numRef>
              <c:f>FINAL_nxn!$R$53:$R$55</c:f>
              <c:numCache>
                <c:formatCode>General</c:formatCode>
                <c:ptCount val="3"/>
                <c:pt idx="0">
                  <c:v>0.78707596876989705</c:v>
                </c:pt>
                <c:pt idx="1">
                  <c:v>0.76093173282541182</c:v>
                </c:pt>
                <c:pt idx="2">
                  <c:v>0.73571625767170445</c:v>
                </c:pt>
              </c:numCache>
            </c:numRef>
          </c:yVal>
        </c:ser>
        <c:axId val="108073728"/>
        <c:axId val="108075264"/>
      </c:scatterChart>
      <c:valAx>
        <c:axId val="108073728"/>
        <c:scaling>
          <c:orientation val="minMax"/>
          <c:max val="3.5"/>
          <c:min val="0"/>
        </c:scaling>
        <c:axPos val="b"/>
        <c:title>
          <c:tx>
            <c:rich>
              <a:bodyPr/>
              <a:lstStyle/>
              <a:p>
                <a:pPr>
                  <a:defRPr/>
                </a:pPr>
                <a:r>
                  <a:rPr lang="en-US"/>
                  <a:t>Levels of s</a:t>
                </a:r>
              </a:p>
            </c:rich>
          </c:tx>
          <c:layout>
            <c:manualLayout>
              <c:xMode val="edge"/>
              <c:yMode val="edge"/>
              <c:x val="0.50684917696546261"/>
              <c:y val="0.90979829855899053"/>
            </c:manualLayout>
          </c:layout>
        </c:title>
        <c:numFmt formatCode="#,##0;\-#,##0;;" sourceLinked="0"/>
        <c:tickLblPos val="nextTo"/>
        <c:crossAx val="108075264"/>
        <c:crosses val="autoZero"/>
        <c:crossBetween val="midCat"/>
        <c:majorUnit val="1"/>
        <c:minorUnit val="1"/>
      </c:valAx>
      <c:valAx>
        <c:axId val="108075264"/>
        <c:scaling>
          <c:orientation val="minMax"/>
          <c:min val="0.5"/>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8073728"/>
        <c:crosses val="autoZero"/>
        <c:crossBetween val="midCat"/>
      </c:valAx>
    </c:plotArea>
    <c:legend>
      <c:legendPos val="r"/>
      <c:layout>
        <c:manualLayout>
          <c:xMode val="edge"/>
          <c:yMode val="edge"/>
          <c:x val="0.78186866503471852"/>
          <c:y val="0.66528672242818465"/>
          <c:w val="0.21399472419185844"/>
          <c:h val="0.15046416863261741"/>
        </c:manualLayout>
      </c:layout>
    </c:legend>
    <c:plotVisOnly val="1"/>
    <c:dispBlanksAs val="gap"/>
  </c:chart>
  <c:spPr>
    <a:ln>
      <a:noFill/>
    </a:ln>
  </c:spPr>
  <c:txPr>
    <a:bodyPr/>
    <a:lstStyle/>
    <a:p>
      <a:pPr>
        <a:defRPr sz="800"/>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9874259095096591"/>
          <c:y val="0.13531578552681037"/>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FINAL_nxn!$F$29:$F$31</c:f>
              <c:numCache>
                <c:formatCode>General</c:formatCode>
                <c:ptCount val="3"/>
                <c:pt idx="0">
                  <c:v>0.58250651658425356</c:v>
                </c:pt>
                <c:pt idx="1">
                  <c:v>0.62356374024165118</c:v>
                </c:pt>
                <c:pt idx="2">
                  <c:v>0.69858721489604458</c:v>
                </c:pt>
              </c:numCache>
            </c:numRef>
          </c:yVal>
        </c:ser>
        <c:ser>
          <c:idx val="2"/>
          <c:order val="1"/>
          <c:tx>
            <c:v>C Class</c:v>
          </c:tx>
          <c:spPr>
            <a:ln w="28575">
              <a:noFill/>
            </a:ln>
          </c:spPr>
          <c:marker>
            <c:symbol val="triangle"/>
            <c:size val="5"/>
            <c:spPr>
              <a:solidFill>
                <a:schemeClr val="tx1"/>
              </a:solidFill>
              <a:ln>
                <a:solidFill>
                  <a:schemeClr val="tx1">
                    <a:lumMod val="75000"/>
                    <a:lumOff val="25000"/>
                  </a:schemeClr>
                </a:solidFill>
              </a:ln>
            </c:spPr>
          </c:marker>
          <c:yVal>
            <c:numRef>
              <c:f>FINAL_nxn!$L$29:$L$31</c:f>
              <c:numCache>
                <c:formatCode>General</c:formatCode>
                <c:ptCount val="3"/>
                <c:pt idx="0">
                  <c:v>0.76189987875015031</c:v>
                </c:pt>
                <c:pt idx="1">
                  <c:v>0.79758111690565758</c:v>
                </c:pt>
                <c:pt idx="2">
                  <c:v>0.8238954246152963</c:v>
                </c:pt>
              </c:numCache>
            </c:numRef>
          </c:yVal>
        </c:ser>
        <c:ser>
          <c:idx val="1"/>
          <c:order val="2"/>
          <c:tx>
            <c:v>Overall</c:v>
          </c:tx>
          <c:spPr>
            <a:ln w="28575">
              <a:noFill/>
            </a:ln>
          </c:spPr>
          <c:marker>
            <c:symbol val="square"/>
            <c:size val="5"/>
            <c:spPr>
              <a:solidFill>
                <a:schemeClr val="tx1"/>
              </a:solidFill>
              <a:ln>
                <a:solidFill>
                  <a:schemeClr val="tx1"/>
                </a:solidFill>
              </a:ln>
            </c:spPr>
          </c:marker>
          <c:yVal>
            <c:numRef>
              <c:f>FINAL_nxn!$G$12:$G$14</c:f>
              <c:numCache>
                <c:formatCode>General</c:formatCode>
                <c:ptCount val="3"/>
                <c:pt idx="0">
                  <c:v>0.67220319766720005</c:v>
                </c:pt>
                <c:pt idx="1">
                  <c:v>0.71057242857365399</c:v>
                </c:pt>
                <c:pt idx="2">
                  <c:v>0.761241319755666</c:v>
                </c:pt>
              </c:numCache>
            </c:numRef>
          </c:yVal>
        </c:ser>
        <c:axId val="108105088"/>
        <c:axId val="108115840"/>
      </c:scatterChart>
      <c:valAx>
        <c:axId val="108105088"/>
        <c:scaling>
          <c:orientation val="minMax"/>
          <c:max val="3.5"/>
          <c:min val="0"/>
        </c:scaling>
        <c:axPos val="b"/>
        <c:title>
          <c:tx>
            <c:rich>
              <a:bodyPr/>
              <a:lstStyle/>
              <a:p>
                <a:pPr>
                  <a:defRPr/>
                </a:pPr>
                <a:r>
                  <a:rPr lang="en-US"/>
                  <a:t>Levels of DM</a:t>
                </a:r>
              </a:p>
            </c:rich>
          </c:tx>
          <c:layout>
            <c:manualLayout>
              <c:xMode val="edge"/>
              <c:yMode val="edge"/>
              <c:x val="0.52005781270638463"/>
              <c:y val="0.90979829855898586"/>
            </c:manualLayout>
          </c:layout>
        </c:title>
        <c:numFmt formatCode="#,##0;\-#,##0;;" sourceLinked="0"/>
        <c:tickLblPos val="nextTo"/>
        <c:crossAx val="108115840"/>
        <c:crosses val="autoZero"/>
        <c:crossBetween val="midCat"/>
        <c:majorUnit val="1"/>
        <c:minorUnit val="1"/>
      </c:valAx>
      <c:valAx>
        <c:axId val="108115840"/>
        <c:scaling>
          <c:orientation val="minMax"/>
          <c:min val="0.5"/>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8105088"/>
        <c:crosses val="autoZero"/>
        <c:crossBetween val="midCat"/>
      </c:valAx>
    </c:plotArea>
    <c:legend>
      <c:legendPos val="r"/>
      <c:layout>
        <c:manualLayout>
          <c:xMode val="edge"/>
          <c:yMode val="edge"/>
          <c:x val="0.78186866503471852"/>
          <c:y val="0.58227764331015053"/>
          <c:w val="0.16717010685088887"/>
          <c:h val="0.24384938264040051"/>
        </c:manualLayout>
      </c:layout>
    </c:legend>
    <c:plotVisOnly val="1"/>
    <c:dispBlanksAs val="gap"/>
  </c:chart>
  <c:spPr>
    <a:ln>
      <a:noFill/>
    </a:ln>
  </c:spPr>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45"/>
          <c:w val="0.74122438337591912"/>
          <c:h val="0.69488852803905343"/>
        </c:manualLayout>
      </c:layout>
      <c:scatterChart>
        <c:scatterStyle val="lineMarker"/>
        <c:ser>
          <c:idx val="0"/>
          <c:order val="0"/>
          <c:tx>
            <c:v>DS Class</c:v>
          </c:tx>
          <c:spPr>
            <a:ln w="28575">
              <a:noFill/>
            </a:ln>
          </c:spPr>
          <c:marker>
            <c:symbol val="diamond"/>
            <c:size val="6"/>
            <c:spPr>
              <a:solidFill>
                <a:schemeClr val="tx1"/>
              </a:solidFill>
              <a:ln>
                <a:solidFill>
                  <a:schemeClr val="tx1"/>
                </a:solidFill>
              </a:ln>
            </c:spPr>
          </c:marker>
          <c:yVal>
            <c:numRef>
              <c:f>'24_56_72_96'!$F$34:$F$36</c:f>
              <c:numCache>
                <c:formatCode>General</c:formatCode>
                <c:ptCount val="3"/>
                <c:pt idx="0">
                  <c:v>0.88950030616447562</c:v>
                </c:pt>
                <c:pt idx="1">
                  <c:v>0.93516187484599267</c:v>
                </c:pt>
                <c:pt idx="2">
                  <c:v>0.94399763225200051</c:v>
                </c:pt>
              </c:numCache>
            </c:numRef>
          </c:yVal>
        </c:ser>
        <c:ser>
          <c:idx val="1"/>
          <c:order val="1"/>
          <c:tx>
            <c:v>DC Class</c:v>
          </c:tx>
          <c:spPr>
            <a:ln w="28575">
              <a:noFill/>
            </a:ln>
          </c:spPr>
          <c:marker>
            <c:symbol val="square"/>
            <c:size val="5"/>
            <c:spPr>
              <a:solidFill>
                <a:schemeClr val="tx1"/>
              </a:solidFill>
              <a:ln>
                <a:solidFill>
                  <a:schemeClr val="tx1"/>
                </a:solidFill>
              </a:ln>
            </c:spPr>
          </c:marker>
          <c:yVal>
            <c:numRef>
              <c:f>'24_56_72_96'!$L$34:$L$36</c:f>
              <c:numCache>
                <c:formatCode>General</c:formatCode>
                <c:ptCount val="3"/>
                <c:pt idx="0">
                  <c:v>0.85400084844372903</c:v>
                </c:pt>
                <c:pt idx="1">
                  <c:v>0.89892206069067493</c:v>
                </c:pt>
                <c:pt idx="2">
                  <c:v>0.91968287640361568</c:v>
                </c:pt>
              </c:numCache>
            </c:numRef>
          </c:yVal>
        </c:ser>
        <c:ser>
          <c:idx val="2"/>
          <c:order val="2"/>
          <c:tx>
            <c:v>CL Class</c:v>
          </c:tx>
          <c:spPr>
            <a:ln w="28575">
              <a:noFill/>
            </a:ln>
          </c:spPr>
          <c:marker>
            <c:symbol val="triangle"/>
            <c:size val="5"/>
            <c:spPr>
              <a:solidFill>
                <a:schemeClr val="tx1"/>
              </a:solidFill>
              <a:ln>
                <a:solidFill>
                  <a:schemeClr val="tx1">
                    <a:lumMod val="75000"/>
                    <a:lumOff val="25000"/>
                  </a:schemeClr>
                </a:solidFill>
              </a:ln>
            </c:spPr>
          </c:marker>
          <c:yVal>
            <c:numRef>
              <c:f>'24_56_72_96'!$S$34:$S$36</c:f>
              <c:numCache>
                <c:formatCode>General</c:formatCode>
                <c:ptCount val="3"/>
                <c:pt idx="0">
                  <c:v>0.42974558257249801</c:v>
                </c:pt>
                <c:pt idx="1">
                  <c:v>0.51366751606210392</c:v>
                </c:pt>
                <c:pt idx="2">
                  <c:v>0.54644904047451226</c:v>
                </c:pt>
              </c:numCache>
            </c:numRef>
          </c:yVal>
        </c:ser>
        <c:axId val="96222208"/>
        <c:axId val="96249344"/>
      </c:scatterChart>
      <c:valAx>
        <c:axId val="96222208"/>
        <c:scaling>
          <c:orientation val="minMax"/>
          <c:max val="3.5"/>
          <c:min val="0"/>
        </c:scaling>
        <c:axPos val="b"/>
        <c:title>
          <c:tx>
            <c:rich>
              <a:bodyPr/>
              <a:lstStyle/>
              <a:p>
                <a:pPr>
                  <a:defRPr/>
                </a:pPr>
                <a:r>
                  <a:rPr lang="en-US"/>
                  <a:t>Levels of Q</a:t>
                </a:r>
              </a:p>
            </c:rich>
          </c:tx>
          <c:layout>
            <c:manualLayout>
              <c:xMode val="edge"/>
              <c:yMode val="edge"/>
              <c:x val="0.50684917696546261"/>
              <c:y val="0.90979829855898853"/>
            </c:manualLayout>
          </c:layout>
        </c:title>
        <c:numFmt formatCode="#,##0;\-#,##0;;" sourceLinked="0"/>
        <c:tickLblPos val="nextTo"/>
        <c:crossAx val="96249344"/>
        <c:crosses val="autoZero"/>
        <c:crossBetween val="midCat"/>
        <c:majorUnit val="1"/>
        <c:minorUnit val="1"/>
      </c:valAx>
      <c:valAx>
        <c:axId val="96249344"/>
        <c:scaling>
          <c:orientation val="minMax"/>
          <c:min val="0.2"/>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222208"/>
        <c:crosses val="autoZero"/>
        <c:crossBetween val="midCat"/>
      </c:valAx>
    </c:plotArea>
    <c:legend>
      <c:legendPos val="r"/>
      <c:layout>
        <c:manualLayout>
          <c:xMode val="edge"/>
          <c:yMode val="edge"/>
          <c:x val="0.80388297815174758"/>
          <c:y val="0.66009865498330755"/>
          <c:w val="0.19165348985798891"/>
          <c:h val="0.16602837096724776"/>
        </c:manualLayout>
      </c:layout>
    </c:legend>
    <c:plotVisOnly val="1"/>
    <c:dispBlanksAs val="gap"/>
  </c:chart>
  <c:spPr>
    <a:ln>
      <a:noFill/>
    </a:ln>
  </c:spPr>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45"/>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FINAL_24_56_72_96!$F$23:$F$25</c:f>
              <c:numCache>
                <c:formatCode>General</c:formatCode>
                <c:ptCount val="3"/>
                <c:pt idx="0">
                  <c:v>0.72993227700681262</c:v>
                </c:pt>
                <c:pt idx="1">
                  <c:v>0.72945251280989065</c:v>
                </c:pt>
                <c:pt idx="2">
                  <c:v>0.72483972814801545</c:v>
                </c:pt>
              </c:numCache>
            </c:numRef>
          </c:yVal>
        </c:ser>
        <c:ser>
          <c:idx val="1"/>
          <c:order val="1"/>
          <c:tx>
            <c:v>RC Class</c:v>
          </c:tx>
          <c:spPr>
            <a:ln w="28575">
              <a:noFill/>
            </a:ln>
          </c:spPr>
          <c:marker>
            <c:symbol val="square"/>
            <c:size val="5"/>
            <c:spPr>
              <a:solidFill>
                <a:schemeClr val="tx1"/>
              </a:solidFill>
              <a:ln>
                <a:solidFill>
                  <a:schemeClr val="tx1"/>
                </a:solidFill>
              </a:ln>
            </c:spPr>
          </c:marker>
          <c:yVal>
            <c:numRef>
              <c:f>FINAL_24_56_72_96!$L$23:$L$25</c:f>
              <c:numCache>
                <c:formatCode>General</c:formatCode>
                <c:ptCount val="3"/>
                <c:pt idx="0">
                  <c:v>0.82792155025558789</c:v>
                </c:pt>
                <c:pt idx="1">
                  <c:v>0.82919099719573663</c:v>
                </c:pt>
                <c:pt idx="2">
                  <c:v>0.82763260479733458</c:v>
                </c:pt>
              </c:numCache>
            </c:numRef>
          </c:yVal>
        </c:ser>
        <c:ser>
          <c:idx val="2"/>
          <c:order val="2"/>
          <c:tx>
            <c:v>C Class</c:v>
          </c:tx>
          <c:spPr>
            <a:ln w="28575">
              <a:noFill/>
            </a:ln>
          </c:spPr>
          <c:marker>
            <c:symbol val="triangle"/>
            <c:size val="5"/>
            <c:spPr>
              <a:solidFill>
                <a:schemeClr val="tx1"/>
              </a:solidFill>
              <a:ln>
                <a:solidFill>
                  <a:schemeClr val="tx1">
                    <a:lumMod val="75000"/>
                    <a:lumOff val="25000"/>
                  </a:schemeClr>
                </a:solidFill>
              </a:ln>
            </c:spPr>
          </c:marker>
          <c:yVal>
            <c:numRef>
              <c:f>FINAL_24_56_72_96!$S$23:$S$25</c:f>
              <c:numCache>
                <c:formatCode>General</c:formatCode>
                <c:ptCount val="3"/>
                <c:pt idx="0">
                  <c:v>0.8151288857392095</c:v>
                </c:pt>
                <c:pt idx="1">
                  <c:v>0.81079738685174596</c:v>
                </c:pt>
                <c:pt idx="2">
                  <c:v>0.8071927041650615</c:v>
                </c:pt>
              </c:numCache>
            </c:numRef>
          </c:yVal>
        </c:ser>
        <c:axId val="96282880"/>
        <c:axId val="96285440"/>
      </c:scatterChart>
      <c:valAx>
        <c:axId val="96282880"/>
        <c:scaling>
          <c:orientation val="minMax"/>
          <c:max val="3.5"/>
          <c:min val="0"/>
        </c:scaling>
        <c:axPos val="b"/>
        <c:title>
          <c:tx>
            <c:rich>
              <a:bodyPr/>
              <a:lstStyle/>
              <a:p>
                <a:pPr>
                  <a:defRPr/>
                </a:pPr>
                <a:r>
                  <a:rPr lang="en-US"/>
                  <a:t>Levels of T</a:t>
                </a:r>
              </a:p>
            </c:rich>
          </c:tx>
          <c:layout>
            <c:manualLayout>
              <c:xMode val="edge"/>
              <c:yMode val="edge"/>
              <c:x val="0.50684917696546261"/>
              <c:y val="0.90979829855898853"/>
            </c:manualLayout>
          </c:layout>
        </c:title>
        <c:numFmt formatCode="#,##0;\-#,##0;;" sourceLinked="0"/>
        <c:tickLblPos val="nextTo"/>
        <c:crossAx val="96285440"/>
        <c:crosses val="autoZero"/>
        <c:crossBetween val="midCat"/>
        <c:majorUnit val="1"/>
        <c:minorUnit val="1"/>
      </c:valAx>
      <c:valAx>
        <c:axId val="96285440"/>
        <c:scaling>
          <c:orientation val="minMax"/>
          <c:min val="0.6000000000000006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282880"/>
        <c:crosses val="autoZero"/>
        <c:crossBetween val="midCat"/>
      </c:valAx>
    </c:plotArea>
    <c:legend>
      <c:legendPos val="r"/>
      <c:layout>
        <c:manualLayout>
          <c:xMode val="edge"/>
          <c:yMode val="edge"/>
          <c:x val="0.78186866503471852"/>
          <c:y val="0.6445344526486777"/>
          <c:w val="0.2092649180441849"/>
          <c:h val="0.17640450585700224"/>
        </c:manualLayout>
      </c:layout>
    </c:legend>
    <c:plotVisOnly val="1"/>
    <c:dispBlanksAs val="gap"/>
  </c:chart>
  <c:spPr>
    <a:ln>
      <a:noFill/>
    </a:ln>
  </c:spPr>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1"/>
          <c:w val="0.74122438337591912"/>
          <c:h val="0.69488852803905343"/>
        </c:manualLayout>
      </c:layout>
      <c:scatterChart>
        <c:scatterStyle val="lineMarker"/>
        <c:ser>
          <c:idx val="0"/>
          <c:order val="0"/>
          <c:tx>
            <c:v>DS Class</c:v>
          </c:tx>
          <c:spPr>
            <a:ln w="28575">
              <a:noFill/>
            </a:ln>
          </c:spPr>
          <c:marker>
            <c:symbol val="diamond"/>
            <c:size val="6"/>
            <c:spPr>
              <a:solidFill>
                <a:schemeClr val="tx1"/>
              </a:solidFill>
              <a:ln>
                <a:solidFill>
                  <a:schemeClr val="tx1"/>
                </a:solidFill>
              </a:ln>
            </c:spPr>
          </c:marker>
          <c:yVal>
            <c:numRef>
              <c:f>FINAL_24_56_72_96!$F$41:$F$43</c:f>
              <c:numCache>
                <c:formatCode>General</c:formatCode>
                <c:ptCount val="3"/>
                <c:pt idx="0">
                  <c:v>0.94501009256520063</c:v>
                </c:pt>
                <c:pt idx="1">
                  <c:v>0.93535499065938021</c:v>
                </c:pt>
                <c:pt idx="2">
                  <c:v>0.92616402180622071</c:v>
                </c:pt>
              </c:numCache>
            </c:numRef>
          </c:yVal>
        </c:ser>
        <c:ser>
          <c:idx val="1"/>
          <c:order val="1"/>
          <c:tx>
            <c:v>DC Class</c:v>
          </c:tx>
          <c:spPr>
            <a:ln w="28575">
              <a:noFill/>
            </a:ln>
          </c:spPr>
          <c:marker>
            <c:symbol val="square"/>
            <c:size val="5"/>
            <c:spPr>
              <a:solidFill>
                <a:schemeClr val="tx1"/>
              </a:solidFill>
              <a:ln>
                <a:solidFill>
                  <a:schemeClr val="tx1"/>
                </a:solidFill>
              </a:ln>
            </c:spPr>
          </c:marker>
          <c:yVal>
            <c:numRef>
              <c:f>FINAL_24_56_72_96!$L$41:$L$43</c:f>
              <c:numCache>
                <c:formatCode>General</c:formatCode>
                <c:ptCount val="3"/>
                <c:pt idx="0">
                  <c:v>0.91434717028333701</c:v>
                </c:pt>
                <c:pt idx="1">
                  <c:v>0.90913236196936209</c:v>
                </c:pt>
                <c:pt idx="2">
                  <c:v>0.90303205303238399</c:v>
                </c:pt>
              </c:numCache>
            </c:numRef>
          </c:yVal>
        </c:ser>
        <c:ser>
          <c:idx val="2"/>
          <c:order val="2"/>
          <c:tx>
            <c:v>CL Class</c:v>
          </c:tx>
          <c:spPr>
            <a:ln w="28575">
              <a:noFill/>
            </a:ln>
          </c:spPr>
          <c:marker>
            <c:symbol val="triangle"/>
            <c:size val="5"/>
            <c:spPr>
              <a:solidFill>
                <a:schemeClr val="tx1"/>
              </a:solidFill>
              <a:ln>
                <a:solidFill>
                  <a:schemeClr val="tx1">
                    <a:lumMod val="75000"/>
                    <a:lumOff val="25000"/>
                  </a:schemeClr>
                </a:solidFill>
              </a:ln>
            </c:spPr>
          </c:marker>
          <c:yVal>
            <c:numRef>
              <c:f>FINAL_24_56_72_96!$S$41:$S$43</c:f>
              <c:numCache>
                <c:formatCode>General</c:formatCode>
                <c:ptCount val="3"/>
                <c:pt idx="0">
                  <c:v>0.51362545015307159</c:v>
                </c:pt>
                <c:pt idx="1">
                  <c:v>0.52495354422862806</c:v>
                </c:pt>
                <c:pt idx="2">
                  <c:v>0.53046896227180096</c:v>
                </c:pt>
              </c:numCache>
            </c:numRef>
          </c:yVal>
        </c:ser>
        <c:axId val="96335360"/>
        <c:axId val="96346112"/>
      </c:scatterChart>
      <c:valAx>
        <c:axId val="96335360"/>
        <c:scaling>
          <c:orientation val="minMax"/>
          <c:max val="3.5"/>
          <c:min val="0"/>
        </c:scaling>
        <c:axPos val="b"/>
        <c:title>
          <c:tx>
            <c:rich>
              <a:bodyPr/>
              <a:lstStyle/>
              <a:p>
                <a:pPr>
                  <a:defRPr/>
                </a:pPr>
                <a:r>
                  <a:rPr lang="en-US"/>
                  <a:t>Levels of T</a:t>
                </a:r>
              </a:p>
            </c:rich>
          </c:tx>
          <c:layout>
            <c:manualLayout>
              <c:xMode val="edge"/>
              <c:yMode val="edge"/>
              <c:x val="0.50684917696546261"/>
              <c:y val="0.90979829855898886"/>
            </c:manualLayout>
          </c:layout>
        </c:title>
        <c:numFmt formatCode="#,##0;\-#,##0;;" sourceLinked="0"/>
        <c:tickLblPos val="nextTo"/>
        <c:crossAx val="96346112"/>
        <c:crosses val="autoZero"/>
        <c:crossBetween val="midCat"/>
        <c:majorUnit val="1"/>
        <c:minorUnit val="1"/>
      </c:valAx>
      <c:valAx>
        <c:axId val="96346112"/>
        <c:scaling>
          <c:orientation val="minMax"/>
          <c:min val="0.2"/>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335360"/>
        <c:crosses val="autoZero"/>
        <c:crossBetween val="midCat"/>
      </c:valAx>
    </c:plotArea>
    <c:legend>
      <c:legendPos val="r"/>
      <c:layout>
        <c:manualLayout>
          <c:xMode val="edge"/>
          <c:yMode val="edge"/>
          <c:x val="0.82149442864537414"/>
          <c:y val="0.66009865498330755"/>
          <c:w val="0.16963917674095938"/>
          <c:h val="0.16602837096724776"/>
        </c:manualLayout>
      </c:layout>
    </c:legend>
    <c:plotVisOnly val="1"/>
    <c:dispBlanksAs val="gap"/>
  </c:chart>
  <c:spPr>
    <a:ln>
      <a:noFill/>
    </a:ln>
  </c:spPr>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45"/>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FINAL_24_56_72_96!$F$26:$F$28</c:f>
              <c:numCache>
                <c:formatCode>General</c:formatCode>
                <c:ptCount val="3"/>
                <c:pt idx="0">
                  <c:v>0.7668177343583934</c:v>
                </c:pt>
                <c:pt idx="1">
                  <c:v>0.74633595514435602</c:v>
                </c:pt>
                <c:pt idx="2">
                  <c:v>0.67107082846196964</c:v>
                </c:pt>
              </c:numCache>
            </c:numRef>
          </c:yVal>
        </c:ser>
        <c:ser>
          <c:idx val="1"/>
          <c:order val="1"/>
          <c:tx>
            <c:v>RC Class</c:v>
          </c:tx>
          <c:spPr>
            <a:ln w="28575">
              <a:noFill/>
            </a:ln>
          </c:spPr>
          <c:marker>
            <c:symbol val="square"/>
            <c:size val="5"/>
            <c:spPr>
              <a:solidFill>
                <a:schemeClr val="tx1"/>
              </a:solidFill>
              <a:ln>
                <a:solidFill>
                  <a:schemeClr val="tx1"/>
                </a:solidFill>
              </a:ln>
            </c:spPr>
          </c:marker>
          <c:yVal>
            <c:numRef>
              <c:f>FINAL_24_56_72_96!$L$26:$L$28</c:f>
              <c:numCache>
                <c:formatCode>General</c:formatCode>
                <c:ptCount val="3"/>
                <c:pt idx="0">
                  <c:v>0.86926235486587999</c:v>
                </c:pt>
                <c:pt idx="1">
                  <c:v>0.84059229681666359</c:v>
                </c:pt>
                <c:pt idx="2">
                  <c:v>0.77489050056611486</c:v>
                </c:pt>
              </c:numCache>
            </c:numRef>
          </c:yVal>
        </c:ser>
        <c:ser>
          <c:idx val="2"/>
          <c:order val="2"/>
          <c:tx>
            <c:v>C Class</c:v>
          </c:tx>
          <c:spPr>
            <a:ln w="28575">
              <a:noFill/>
            </a:ln>
          </c:spPr>
          <c:marker>
            <c:symbol val="triangle"/>
            <c:size val="5"/>
            <c:spPr>
              <a:solidFill>
                <a:schemeClr val="tx1"/>
              </a:solidFill>
              <a:ln>
                <a:solidFill>
                  <a:schemeClr val="tx1">
                    <a:lumMod val="75000"/>
                    <a:lumOff val="25000"/>
                  </a:schemeClr>
                </a:solidFill>
              </a:ln>
            </c:spPr>
          </c:marker>
          <c:yVal>
            <c:numRef>
              <c:f>FINAL_24_56_72_96!$S$26:$S$28</c:f>
              <c:numCache>
                <c:formatCode>General</c:formatCode>
                <c:ptCount val="3"/>
                <c:pt idx="0">
                  <c:v>0.83422422731582446</c:v>
                </c:pt>
                <c:pt idx="1">
                  <c:v>0.82218159769791299</c:v>
                </c:pt>
                <c:pt idx="2">
                  <c:v>0.7767131517422835</c:v>
                </c:pt>
              </c:numCache>
            </c:numRef>
          </c:yVal>
        </c:ser>
        <c:axId val="96375552"/>
        <c:axId val="96377856"/>
      </c:scatterChart>
      <c:valAx>
        <c:axId val="96375552"/>
        <c:scaling>
          <c:orientation val="minMax"/>
          <c:max val="3.5"/>
          <c:min val="0"/>
        </c:scaling>
        <c:axPos val="b"/>
        <c:title>
          <c:tx>
            <c:rich>
              <a:bodyPr/>
              <a:lstStyle/>
              <a:p>
                <a:pPr>
                  <a:defRPr/>
                </a:pPr>
                <a:r>
                  <a:rPr lang="en-US"/>
                  <a:t>Levels of D</a:t>
                </a:r>
              </a:p>
            </c:rich>
          </c:tx>
          <c:layout>
            <c:manualLayout>
              <c:xMode val="edge"/>
              <c:yMode val="edge"/>
              <c:x val="0.50684917696546261"/>
              <c:y val="0.90979829855898853"/>
            </c:manualLayout>
          </c:layout>
        </c:title>
        <c:numFmt formatCode="#,##0;\-#,##0;;" sourceLinked="0"/>
        <c:tickLblPos val="nextTo"/>
        <c:crossAx val="96377856"/>
        <c:crosses val="autoZero"/>
        <c:crossBetween val="midCat"/>
        <c:majorUnit val="1"/>
        <c:minorUnit val="1"/>
      </c:valAx>
      <c:valAx>
        <c:axId val="96377856"/>
        <c:scaling>
          <c:orientation val="minMax"/>
          <c:min val="0.5"/>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375552"/>
        <c:crosses val="autoZero"/>
        <c:crossBetween val="midCat"/>
      </c:valAx>
    </c:plotArea>
    <c:legend>
      <c:legendPos val="r"/>
      <c:layout>
        <c:manualLayout>
          <c:xMode val="edge"/>
          <c:yMode val="edge"/>
          <c:x val="0.78186866503471852"/>
          <c:y val="0.65491058753842823"/>
          <c:w val="0.2092649180441849"/>
          <c:h val="0.17121643841212647"/>
        </c:manualLayout>
      </c:layout>
    </c:legend>
    <c:plotVisOnly val="1"/>
    <c:dispBlanksAs val="gap"/>
  </c:chart>
  <c:spPr>
    <a:ln>
      <a:noFill/>
    </a:ln>
  </c:spPr>
  <c:txPr>
    <a:bodyPr/>
    <a:lstStyle/>
    <a:p>
      <a:pPr>
        <a:defRPr sz="8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1"/>
          <c:w val="0.74122438337591912"/>
          <c:h val="0.69488852803905343"/>
        </c:manualLayout>
      </c:layout>
      <c:scatterChart>
        <c:scatterStyle val="lineMarker"/>
        <c:ser>
          <c:idx val="0"/>
          <c:order val="0"/>
          <c:tx>
            <c:v>DS Class</c:v>
          </c:tx>
          <c:spPr>
            <a:ln w="28575">
              <a:noFill/>
            </a:ln>
          </c:spPr>
          <c:marker>
            <c:symbol val="diamond"/>
            <c:size val="6"/>
            <c:spPr>
              <a:solidFill>
                <a:schemeClr val="tx1"/>
              </a:solidFill>
              <a:ln>
                <a:solidFill>
                  <a:schemeClr val="tx1"/>
                </a:solidFill>
              </a:ln>
            </c:spPr>
          </c:marker>
          <c:yVal>
            <c:numRef>
              <c:f>FINAL_24_56_72_96!$F$44:$F$46</c:f>
              <c:numCache>
                <c:formatCode>General</c:formatCode>
                <c:ptCount val="3"/>
                <c:pt idx="0">
                  <c:v>0.9668901536686042</c:v>
                </c:pt>
                <c:pt idx="1">
                  <c:v>0.94839999503765049</c:v>
                </c:pt>
                <c:pt idx="2">
                  <c:v>0.89123895632455163</c:v>
                </c:pt>
              </c:numCache>
            </c:numRef>
          </c:yVal>
        </c:ser>
        <c:ser>
          <c:idx val="1"/>
          <c:order val="1"/>
          <c:tx>
            <c:v>DC Class</c:v>
          </c:tx>
          <c:spPr>
            <a:ln w="28575">
              <a:noFill/>
            </a:ln>
          </c:spPr>
          <c:marker>
            <c:symbol val="square"/>
            <c:size val="5"/>
            <c:spPr>
              <a:solidFill>
                <a:schemeClr val="tx1"/>
              </a:solidFill>
              <a:ln>
                <a:solidFill>
                  <a:schemeClr val="tx1"/>
                </a:solidFill>
              </a:ln>
            </c:spPr>
          </c:marker>
          <c:yVal>
            <c:numRef>
              <c:f>FINAL_24_56_72_96!$L$44:$L$46</c:f>
              <c:numCache>
                <c:formatCode>General</c:formatCode>
                <c:ptCount val="3"/>
                <c:pt idx="0">
                  <c:v>0.94820072427631497</c:v>
                </c:pt>
                <c:pt idx="1">
                  <c:v>0.92052915659469992</c:v>
                </c:pt>
                <c:pt idx="2">
                  <c:v>0.85778170441407886</c:v>
                </c:pt>
              </c:numCache>
            </c:numRef>
          </c:yVal>
        </c:ser>
        <c:ser>
          <c:idx val="2"/>
          <c:order val="2"/>
          <c:tx>
            <c:v>CL Class</c:v>
          </c:tx>
          <c:spPr>
            <a:ln w="28575">
              <a:noFill/>
            </a:ln>
          </c:spPr>
          <c:marker>
            <c:symbol val="triangle"/>
            <c:size val="5"/>
            <c:spPr>
              <a:solidFill>
                <a:schemeClr val="tx1"/>
              </a:solidFill>
              <a:ln>
                <a:solidFill>
                  <a:schemeClr val="tx1">
                    <a:lumMod val="75000"/>
                    <a:lumOff val="25000"/>
                  </a:schemeClr>
                </a:solidFill>
              </a:ln>
            </c:spPr>
          </c:marker>
          <c:yVal>
            <c:numRef>
              <c:f>FINAL_24_56_72_96!$S$44:$S$46</c:f>
              <c:numCache>
                <c:formatCode>General</c:formatCode>
                <c:ptCount val="3"/>
                <c:pt idx="0">
                  <c:v>0.55521343859517969</c:v>
                </c:pt>
                <c:pt idx="1">
                  <c:v>0.54018069802658464</c:v>
                </c:pt>
                <c:pt idx="2">
                  <c:v>0.47365382003173573</c:v>
                </c:pt>
              </c:numCache>
            </c:numRef>
          </c:yVal>
        </c:ser>
        <c:axId val="96411648"/>
        <c:axId val="96413952"/>
      </c:scatterChart>
      <c:valAx>
        <c:axId val="96411648"/>
        <c:scaling>
          <c:orientation val="minMax"/>
          <c:max val="3.5"/>
          <c:min val="0"/>
        </c:scaling>
        <c:axPos val="b"/>
        <c:title>
          <c:tx>
            <c:rich>
              <a:bodyPr/>
              <a:lstStyle/>
              <a:p>
                <a:pPr>
                  <a:defRPr/>
                </a:pPr>
                <a:r>
                  <a:rPr lang="en-US"/>
                  <a:t>Levels of D</a:t>
                </a:r>
              </a:p>
            </c:rich>
          </c:tx>
          <c:layout>
            <c:manualLayout>
              <c:xMode val="edge"/>
              <c:yMode val="edge"/>
              <c:x val="0.50684917696546261"/>
              <c:y val="0.90979829855898886"/>
            </c:manualLayout>
          </c:layout>
        </c:title>
        <c:numFmt formatCode="#,##0;\-#,##0;;" sourceLinked="0"/>
        <c:tickLblPos val="nextTo"/>
        <c:crossAx val="96413952"/>
        <c:crosses val="autoZero"/>
        <c:crossBetween val="midCat"/>
        <c:majorUnit val="1"/>
        <c:minorUnit val="1"/>
      </c:valAx>
      <c:valAx>
        <c:axId val="96413952"/>
        <c:scaling>
          <c:orientation val="minMax"/>
          <c:min val="0.1"/>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411648"/>
        <c:crosses val="autoZero"/>
        <c:crossBetween val="midCat"/>
      </c:valAx>
    </c:plotArea>
    <c:legend>
      <c:legendPos val="r"/>
      <c:layout>
        <c:manualLayout>
          <c:xMode val="edge"/>
          <c:yMode val="edge"/>
          <c:x val="0.80828584077515342"/>
          <c:y val="0.66009865498330755"/>
          <c:w val="0.18725062723458211"/>
          <c:h val="0.16602837096724776"/>
        </c:manualLayout>
      </c:layout>
      <c:txPr>
        <a:bodyPr/>
        <a:lstStyle/>
        <a:p>
          <a:pPr>
            <a:defRPr sz="800"/>
          </a:pPr>
          <a:endParaRPr lang="en-US"/>
        </a:p>
      </c:txPr>
    </c:legend>
    <c:plotVisOnly val="1"/>
    <c:dispBlanksAs val="gap"/>
  </c:chart>
  <c:spPr>
    <a:ln>
      <a:noFill/>
    </a:ln>
  </c:spPr>
  <c:txPr>
    <a:bodyPr/>
    <a:lstStyle/>
    <a:p>
      <a:pPr>
        <a:defRPr sz="8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1"/>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FINAL_24_56_72_96!$F$29:$F$31</c:f>
              <c:numCache>
                <c:formatCode>General</c:formatCode>
                <c:ptCount val="3"/>
                <c:pt idx="0">
                  <c:v>0.73105485216226063</c:v>
                </c:pt>
                <c:pt idx="1">
                  <c:v>0.72828704287915202</c:v>
                </c:pt>
                <c:pt idx="2">
                  <c:v>0.72488262292330263</c:v>
                </c:pt>
              </c:numCache>
            </c:numRef>
          </c:yVal>
        </c:ser>
        <c:ser>
          <c:idx val="1"/>
          <c:order val="1"/>
          <c:tx>
            <c:v>RC Class</c:v>
          </c:tx>
          <c:spPr>
            <a:ln w="28575">
              <a:noFill/>
            </a:ln>
          </c:spPr>
          <c:marker>
            <c:symbol val="square"/>
            <c:size val="5"/>
            <c:spPr>
              <a:solidFill>
                <a:schemeClr val="tx1"/>
              </a:solidFill>
              <a:ln>
                <a:solidFill>
                  <a:schemeClr val="tx1"/>
                </a:solidFill>
              </a:ln>
            </c:spPr>
          </c:marker>
          <c:yVal>
            <c:numRef>
              <c:f>FINAL_24_56_72_96!$L$29:$L$31</c:f>
              <c:numCache>
                <c:formatCode>General</c:formatCode>
                <c:ptCount val="3"/>
                <c:pt idx="0">
                  <c:v>0.82969173166594046</c:v>
                </c:pt>
                <c:pt idx="1">
                  <c:v>0.82848219011157997</c:v>
                </c:pt>
                <c:pt idx="2">
                  <c:v>0.82657123047113845</c:v>
                </c:pt>
              </c:numCache>
            </c:numRef>
          </c:yVal>
        </c:ser>
        <c:ser>
          <c:idx val="2"/>
          <c:order val="2"/>
          <c:tx>
            <c:v>C Class</c:v>
          </c:tx>
          <c:spPr>
            <a:ln w="28575">
              <a:noFill/>
            </a:ln>
          </c:spPr>
          <c:marker>
            <c:symbol val="triangle"/>
            <c:size val="5"/>
            <c:spPr>
              <a:solidFill>
                <a:schemeClr val="tx1"/>
              </a:solidFill>
              <a:ln>
                <a:solidFill>
                  <a:schemeClr val="tx1">
                    <a:lumMod val="75000"/>
                    <a:lumOff val="25000"/>
                  </a:schemeClr>
                </a:solidFill>
              </a:ln>
            </c:spPr>
          </c:marker>
          <c:yVal>
            <c:numRef>
              <c:f>FINAL_24_56_72_96!$S$29:$S$31</c:f>
              <c:numCache>
                <c:formatCode>General</c:formatCode>
                <c:ptCount val="3"/>
                <c:pt idx="0">
                  <c:v>0.81300804081973799</c:v>
                </c:pt>
                <c:pt idx="1">
                  <c:v>0.81120646617922298</c:v>
                </c:pt>
                <c:pt idx="2">
                  <c:v>0.80890446975705643</c:v>
                </c:pt>
              </c:numCache>
            </c:numRef>
          </c:yVal>
        </c:ser>
        <c:axId val="96459776"/>
        <c:axId val="96462336"/>
      </c:scatterChart>
      <c:valAx>
        <c:axId val="96459776"/>
        <c:scaling>
          <c:orientation val="minMax"/>
          <c:max val="3.5"/>
          <c:min val="0"/>
        </c:scaling>
        <c:axPos val="b"/>
        <c:title>
          <c:tx>
            <c:rich>
              <a:bodyPr/>
              <a:lstStyle/>
              <a:p>
                <a:pPr>
                  <a:defRPr/>
                </a:pPr>
                <a:r>
                  <a:rPr lang="en-US"/>
                  <a:t>Levels of s</a:t>
                </a:r>
              </a:p>
            </c:rich>
          </c:tx>
          <c:layout>
            <c:manualLayout>
              <c:xMode val="edge"/>
              <c:yMode val="edge"/>
              <c:x val="0.50684917696546261"/>
              <c:y val="0.90979829855898886"/>
            </c:manualLayout>
          </c:layout>
        </c:title>
        <c:numFmt formatCode="#,##0;\-#,##0;;" sourceLinked="0"/>
        <c:tickLblPos val="nextTo"/>
        <c:crossAx val="96462336"/>
        <c:crosses val="autoZero"/>
        <c:crossBetween val="midCat"/>
        <c:majorUnit val="1"/>
        <c:minorUnit val="1"/>
      </c:valAx>
      <c:valAx>
        <c:axId val="96462336"/>
        <c:scaling>
          <c:orientation val="minMax"/>
          <c:min val="0.6000000000000006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459776"/>
        <c:crosses val="autoZero"/>
        <c:crossBetween val="midCat"/>
      </c:valAx>
    </c:plotArea>
    <c:legend>
      <c:legendPos val="r"/>
      <c:layout>
        <c:manualLayout>
          <c:xMode val="edge"/>
          <c:yMode val="edge"/>
          <c:x val="0.78186866503471852"/>
          <c:y val="0.65491058753842846"/>
          <c:w val="0.2092649180441849"/>
          <c:h val="0.17121643841212664"/>
        </c:manualLayout>
      </c:layout>
    </c:legend>
    <c:plotVisOnly val="1"/>
    <c:dispBlanksAs val="gap"/>
  </c:chart>
  <c:spPr>
    <a:ln>
      <a:noFill/>
    </a:ln>
  </c:spPr>
  <c:txPr>
    <a:bodyPr/>
    <a:lstStyle/>
    <a:p>
      <a:pPr>
        <a:defRPr sz="8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6"/>
          <c:w val="0.74122438337591912"/>
          <c:h val="0.69488852803905343"/>
        </c:manualLayout>
      </c:layout>
      <c:scatterChart>
        <c:scatterStyle val="lineMarker"/>
        <c:ser>
          <c:idx val="0"/>
          <c:order val="0"/>
          <c:tx>
            <c:v>DS Class</c:v>
          </c:tx>
          <c:spPr>
            <a:ln w="28575">
              <a:noFill/>
            </a:ln>
          </c:spPr>
          <c:marker>
            <c:symbol val="diamond"/>
            <c:size val="6"/>
            <c:spPr>
              <a:solidFill>
                <a:schemeClr val="tx1"/>
              </a:solidFill>
              <a:ln>
                <a:solidFill>
                  <a:schemeClr val="tx1"/>
                </a:solidFill>
              </a:ln>
            </c:spPr>
          </c:marker>
          <c:yVal>
            <c:numRef>
              <c:f>FINAL_24_56_72_96!$F$47:$F$49</c:f>
              <c:numCache>
                <c:formatCode>General</c:formatCode>
                <c:ptCount val="3"/>
                <c:pt idx="0">
                  <c:v>0.936341348470621</c:v>
                </c:pt>
                <c:pt idx="1">
                  <c:v>0.93568447768007301</c:v>
                </c:pt>
                <c:pt idx="2">
                  <c:v>0.93450327888011298</c:v>
                </c:pt>
              </c:numCache>
            </c:numRef>
          </c:yVal>
        </c:ser>
        <c:ser>
          <c:idx val="1"/>
          <c:order val="1"/>
          <c:tx>
            <c:v>DC Class</c:v>
          </c:tx>
          <c:spPr>
            <a:ln w="28575">
              <a:noFill/>
            </a:ln>
          </c:spPr>
          <c:marker>
            <c:symbol val="square"/>
            <c:size val="5"/>
            <c:spPr>
              <a:solidFill>
                <a:schemeClr val="tx1"/>
              </a:solidFill>
              <a:ln>
                <a:solidFill>
                  <a:schemeClr val="tx1"/>
                </a:solidFill>
              </a:ln>
            </c:spPr>
          </c:marker>
          <c:yVal>
            <c:numRef>
              <c:f>FINAL_24_56_72_96!$L$47:$L$49</c:f>
              <c:numCache>
                <c:formatCode>General</c:formatCode>
                <c:ptCount val="3"/>
                <c:pt idx="0">
                  <c:v>0.91036784305375296</c:v>
                </c:pt>
                <c:pt idx="1">
                  <c:v>0.90908086502899998</c:v>
                </c:pt>
                <c:pt idx="2">
                  <c:v>0.90706287720233458</c:v>
                </c:pt>
              </c:numCache>
            </c:numRef>
          </c:yVal>
        </c:ser>
        <c:ser>
          <c:idx val="2"/>
          <c:order val="2"/>
          <c:tx>
            <c:v>CL Class</c:v>
          </c:tx>
          <c:spPr>
            <a:ln w="28575">
              <a:noFill/>
            </a:ln>
          </c:spPr>
          <c:marker>
            <c:symbol val="triangle"/>
            <c:size val="5"/>
            <c:spPr>
              <a:solidFill>
                <a:schemeClr val="tx1"/>
              </a:solidFill>
              <a:ln>
                <a:solidFill>
                  <a:schemeClr val="tx1">
                    <a:lumMod val="75000"/>
                    <a:lumOff val="25000"/>
                  </a:schemeClr>
                </a:solidFill>
              </a:ln>
            </c:spPr>
          </c:marker>
          <c:yVal>
            <c:numRef>
              <c:f>FINAL_24_56_72_96!$S$47:$S$49</c:f>
              <c:numCache>
                <c:formatCode>General</c:formatCode>
                <c:ptCount val="3"/>
                <c:pt idx="0">
                  <c:v>0.52704543312356578</c:v>
                </c:pt>
                <c:pt idx="1">
                  <c:v>0.52321035646088765</c:v>
                </c:pt>
                <c:pt idx="2">
                  <c:v>0.51879216706904896</c:v>
                </c:pt>
              </c:numCache>
            </c:numRef>
          </c:yVal>
        </c:ser>
        <c:axId val="96504064"/>
        <c:axId val="96510720"/>
      </c:scatterChart>
      <c:valAx>
        <c:axId val="96504064"/>
        <c:scaling>
          <c:orientation val="minMax"/>
          <c:max val="3.5"/>
          <c:min val="0"/>
        </c:scaling>
        <c:axPos val="b"/>
        <c:title>
          <c:tx>
            <c:rich>
              <a:bodyPr/>
              <a:lstStyle/>
              <a:p>
                <a:pPr>
                  <a:defRPr/>
                </a:pPr>
                <a:r>
                  <a:rPr lang="en-US"/>
                  <a:t>Levels of s</a:t>
                </a:r>
              </a:p>
            </c:rich>
          </c:tx>
          <c:layout>
            <c:manualLayout>
              <c:xMode val="edge"/>
              <c:yMode val="edge"/>
              <c:x val="0.50684917696546261"/>
              <c:y val="0.9097982985589893"/>
            </c:manualLayout>
          </c:layout>
        </c:title>
        <c:numFmt formatCode="#,##0;\-#,##0;;" sourceLinked="0"/>
        <c:tickLblPos val="nextTo"/>
        <c:crossAx val="96510720"/>
        <c:crosses val="autoZero"/>
        <c:crossBetween val="midCat"/>
        <c:majorUnit val="1"/>
        <c:minorUnit val="1"/>
      </c:valAx>
      <c:valAx>
        <c:axId val="96510720"/>
        <c:scaling>
          <c:orientation val="minMax"/>
          <c:min val="0.30000000000000032"/>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96504064"/>
        <c:crosses val="autoZero"/>
        <c:crossBetween val="midCat"/>
      </c:valAx>
    </c:plotArea>
    <c:legend>
      <c:legendPos val="r"/>
      <c:layout>
        <c:manualLayout>
          <c:xMode val="edge"/>
          <c:yMode val="edge"/>
          <c:x val="0.80828584077515342"/>
          <c:y val="0.660098654983308"/>
          <c:w val="0.18725062723458205"/>
          <c:h val="0.16602837096724776"/>
        </c:manualLayout>
      </c:layout>
      <c:txPr>
        <a:bodyPr/>
        <a:lstStyle/>
        <a:p>
          <a:pPr>
            <a:defRPr sz="800"/>
          </a:pPr>
          <a:endParaRPr lang="en-US"/>
        </a:p>
      </c:txPr>
    </c:legend>
    <c:plotVisOnly val="1"/>
    <c:dispBlanksAs val="gap"/>
  </c:chart>
  <c:spPr>
    <a:ln>
      <a:noFill/>
    </a:ln>
  </c:spPr>
  <c:txPr>
    <a:bodyPr/>
    <a:lstStyle/>
    <a:p>
      <a:pPr>
        <a:defRPr sz="8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874259095096591"/>
          <c:y val="0.13531578552681051"/>
          <c:w val="0.74122438337591912"/>
          <c:h val="0.69488852803905343"/>
        </c:manualLayout>
      </c:layout>
      <c:scatterChart>
        <c:scatterStyle val="lineMarker"/>
        <c:ser>
          <c:idx val="0"/>
          <c:order val="0"/>
          <c:tx>
            <c:v>R Class</c:v>
          </c:tx>
          <c:spPr>
            <a:ln w="28575">
              <a:noFill/>
            </a:ln>
          </c:spPr>
          <c:marker>
            <c:symbol val="diamond"/>
            <c:size val="6"/>
            <c:spPr>
              <a:solidFill>
                <a:schemeClr val="tx1"/>
              </a:solidFill>
              <a:ln>
                <a:solidFill>
                  <a:schemeClr val="tx1"/>
                </a:solidFill>
              </a:ln>
            </c:spPr>
          </c:marker>
          <c:yVal>
            <c:numRef>
              <c:f>FINAL_nxn!$F$20:$F$22</c:f>
              <c:numCache>
                <c:formatCode>General</c:formatCode>
                <c:ptCount val="3"/>
                <c:pt idx="0">
                  <c:v>0.59766129319077665</c:v>
                </c:pt>
                <c:pt idx="1">
                  <c:v>0.64539323771533363</c:v>
                </c:pt>
                <c:pt idx="2">
                  <c:v>0.66160294081584303</c:v>
                </c:pt>
              </c:numCache>
            </c:numRef>
          </c:yVal>
        </c:ser>
        <c:ser>
          <c:idx val="2"/>
          <c:order val="1"/>
          <c:tx>
            <c:v>C Class</c:v>
          </c:tx>
          <c:spPr>
            <a:ln w="28575">
              <a:noFill/>
            </a:ln>
          </c:spPr>
          <c:marker>
            <c:symbol val="triangle"/>
            <c:size val="5"/>
            <c:spPr>
              <a:solidFill>
                <a:schemeClr val="tx1"/>
              </a:solidFill>
              <a:ln>
                <a:solidFill>
                  <a:schemeClr val="tx1">
                    <a:lumMod val="75000"/>
                    <a:lumOff val="25000"/>
                  </a:schemeClr>
                </a:solidFill>
              </a:ln>
            </c:spPr>
          </c:marker>
          <c:yVal>
            <c:numRef>
              <c:f>FINAL_nxn!$L$20:$L$22</c:f>
              <c:numCache>
                <c:formatCode>General</c:formatCode>
                <c:ptCount val="3"/>
                <c:pt idx="0">
                  <c:v>0.7792430863447648</c:v>
                </c:pt>
                <c:pt idx="1">
                  <c:v>0.80164870386120002</c:v>
                </c:pt>
                <c:pt idx="2">
                  <c:v>0.80248463006513804</c:v>
                </c:pt>
              </c:numCache>
            </c:numRef>
          </c:yVal>
        </c:ser>
        <c:axId val="107819392"/>
        <c:axId val="107821696"/>
      </c:scatterChart>
      <c:valAx>
        <c:axId val="107819392"/>
        <c:scaling>
          <c:orientation val="minMax"/>
          <c:max val="3.5"/>
          <c:min val="0"/>
        </c:scaling>
        <c:axPos val="b"/>
        <c:title>
          <c:tx>
            <c:rich>
              <a:bodyPr/>
              <a:lstStyle/>
              <a:p>
                <a:pPr>
                  <a:defRPr/>
                </a:pPr>
                <a:r>
                  <a:rPr lang="en-US"/>
                  <a:t>Levels of Q</a:t>
                </a:r>
              </a:p>
            </c:rich>
          </c:tx>
          <c:layout>
            <c:manualLayout>
              <c:xMode val="edge"/>
              <c:yMode val="edge"/>
              <c:x val="0.50684917696546261"/>
              <c:y val="0.90979829855898886"/>
            </c:manualLayout>
          </c:layout>
        </c:title>
        <c:numFmt formatCode="#,##0;\-#,##0;;" sourceLinked="0"/>
        <c:tickLblPos val="nextTo"/>
        <c:crossAx val="107821696"/>
        <c:crosses val="autoZero"/>
        <c:crossBetween val="midCat"/>
        <c:majorUnit val="1"/>
        <c:minorUnit val="1"/>
      </c:valAx>
      <c:valAx>
        <c:axId val="107821696"/>
        <c:scaling>
          <c:orientation val="minMax"/>
          <c:min val="0.4"/>
        </c:scaling>
        <c:axPos val="l"/>
        <c:majorGridlines>
          <c:spPr>
            <a:ln>
              <a:solidFill>
                <a:schemeClr val="bg1"/>
              </a:solidFill>
            </a:ln>
          </c:spPr>
        </c:majorGridlines>
        <c:title>
          <c:tx>
            <c:rich>
              <a:bodyPr/>
              <a:lstStyle/>
              <a:p>
                <a:pPr algn="ctr" rtl="0">
                  <a:defRPr lang="en-US" sz="800" b="1" i="0" u="none" strike="noStrike" kern="1200" baseline="0">
                    <a:solidFill>
                      <a:sysClr val="windowText" lastClr="000000"/>
                    </a:solidFill>
                    <a:latin typeface="+mn-lt"/>
                    <a:ea typeface="+mn-ea"/>
                    <a:cs typeface="+mn-cs"/>
                  </a:defRPr>
                </a:pPr>
                <a:r>
                  <a:rPr lang="en-US" sz="800" b="1" i="0" u="none" strike="noStrike" kern="1200" baseline="0">
                    <a:solidFill>
                      <a:sysClr val="windowText" lastClr="000000"/>
                    </a:solidFill>
                    <a:latin typeface="+mn-lt"/>
                    <a:ea typeface="+mn-ea"/>
                    <a:cs typeface="+mn-cs"/>
                  </a:rPr>
                  <a:t>Relative Performance</a:t>
                </a:r>
              </a:p>
              <a:p>
                <a:pPr algn="ctr" rtl="0">
                  <a:defRPr lang="en-US" sz="800" b="1" i="0" u="none" strike="noStrike" kern="1200" baseline="0">
                    <a:solidFill>
                      <a:sysClr val="windowText" lastClr="000000"/>
                    </a:solidFill>
                    <a:latin typeface="+mn-lt"/>
                    <a:ea typeface="+mn-ea"/>
                    <a:cs typeface="+mn-cs"/>
                  </a:defRPr>
                </a:pPr>
                <a:r>
                  <a:rPr lang="el-GR" sz="800" b="1" i="1" u="none" strike="noStrike" kern="1200" baseline="0">
                    <a:solidFill>
                      <a:sysClr val="windowText" lastClr="000000"/>
                    </a:solidFill>
                    <a:latin typeface="+mn-lt"/>
                    <a:ea typeface="+mn-ea"/>
                    <a:cs typeface="+mn-cs"/>
                  </a:rPr>
                  <a:t>λ</a:t>
                </a:r>
                <a:endParaRPr lang="en-US" sz="800" b="1" i="1" u="none" strike="noStrike" kern="1200" baseline="0">
                  <a:solidFill>
                    <a:sysClr val="windowText" lastClr="000000"/>
                  </a:solidFill>
                  <a:latin typeface="+mn-lt"/>
                  <a:ea typeface="+mn-ea"/>
                  <a:cs typeface="+mn-cs"/>
                </a:endParaRPr>
              </a:p>
            </c:rich>
          </c:tx>
          <c:layout/>
        </c:title>
        <c:numFmt formatCode="#,##0.00" sourceLinked="0"/>
        <c:tickLblPos val="nextTo"/>
        <c:crossAx val="107819392"/>
        <c:crosses val="autoZero"/>
        <c:crossBetween val="midCat"/>
      </c:valAx>
    </c:plotArea>
    <c:legend>
      <c:legendPos val="r"/>
      <c:layout>
        <c:manualLayout>
          <c:xMode val="edge"/>
          <c:yMode val="edge"/>
          <c:x val="0.78186866503471852"/>
          <c:y val="0.66528672242818443"/>
          <c:w val="0.2092649180441849"/>
          <c:h val="0.16084030352237241"/>
        </c:manualLayout>
      </c:layout>
    </c:legend>
    <c:plotVisOnly val="1"/>
    <c:dispBlanksAs val="gap"/>
  </c:chart>
  <c:spPr>
    <a:ln>
      <a:noFill/>
    </a:ln>
  </c:spPr>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CF2F-B6A5-41E2-8C4A-BEA4CA9D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27</Pages>
  <Words>11007</Words>
  <Characters>62746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2015-10-02T07:20:00Z</cp:lastPrinted>
  <dcterms:created xsi:type="dcterms:W3CDTF">2015-10-02T07:07:00Z</dcterms:created>
  <dcterms:modified xsi:type="dcterms:W3CDTF">2015-10-05T07:26:00Z</dcterms:modified>
</cp:coreProperties>
</file>