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4"/>
          <w:szCs w:val="24"/>
          <w:lang w:val="en-US"/>
        </w:rPr>
      </w:pPr>
      <w:r w:rsidRPr="00167484">
        <w:rPr>
          <w:rFonts w:cs="Arial,Bold"/>
          <w:b/>
          <w:bCs/>
          <w:sz w:val="24"/>
          <w:szCs w:val="24"/>
          <w:lang w:val="en-US"/>
        </w:rPr>
        <w:t xml:space="preserve">Case Study </w:t>
      </w:r>
      <w:r w:rsidR="007772D5">
        <w:rPr>
          <w:rFonts w:cs="Arial,Bold"/>
          <w:b/>
          <w:bCs/>
          <w:sz w:val="24"/>
          <w:szCs w:val="24"/>
          <w:lang w:val="en-US"/>
        </w:rPr>
        <w:t xml:space="preserve">on </w:t>
      </w:r>
      <w:bookmarkStart w:id="0" w:name="_GoBack"/>
      <w:bookmarkEnd w:id="0"/>
      <w:r w:rsidRPr="00167484">
        <w:rPr>
          <w:rFonts w:cs="Arial,Bold"/>
          <w:b/>
          <w:bCs/>
          <w:sz w:val="24"/>
          <w:szCs w:val="24"/>
          <w:lang w:val="en-US"/>
        </w:rPr>
        <w:t>Forecasting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28"/>
          <w:szCs w:val="28"/>
          <w:lang w:val="en-US"/>
        </w:rPr>
      </w:pPr>
      <w:r w:rsidRPr="00167484">
        <w:rPr>
          <w:rFonts w:cs="Arial,Bold"/>
          <w:b/>
          <w:bCs/>
          <w:sz w:val="28"/>
          <w:szCs w:val="28"/>
          <w:lang w:val="en-US"/>
        </w:rPr>
        <w:t>A-CAT CORP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6"/>
          <w:szCs w:val="16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6"/>
          <w:szCs w:val="16"/>
          <w:lang w:val="en-US"/>
        </w:rPr>
      </w:pPr>
      <w:r w:rsidRPr="00167484">
        <w:rPr>
          <w:rFonts w:cs="Arial"/>
          <w:i/>
          <w:iCs/>
          <w:sz w:val="16"/>
          <w:szCs w:val="16"/>
          <w:lang w:val="en-US"/>
        </w:rPr>
        <w:t>Ivey Publishing, Ivey Business School, Western</w:t>
      </w:r>
      <w:r w:rsidRPr="00167484">
        <w:rPr>
          <w:rFonts w:cs="Arial"/>
          <w:i/>
          <w:iCs/>
          <w:sz w:val="16"/>
          <w:szCs w:val="16"/>
          <w:lang w:val="en-US"/>
        </w:rPr>
        <w:t xml:space="preserve"> </w:t>
      </w:r>
      <w:r w:rsidRPr="00167484">
        <w:rPr>
          <w:rFonts w:cs="Arial"/>
          <w:i/>
          <w:iCs/>
          <w:sz w:val="16"/>
          <w:szCs w:val="16"/>
          <w:lang w:val="en-US"/>
        </w:rPr>
        <w:t xml:space="preserve">University, London, Ontario, Canada, N6G 0N1; (t) 519.661.3208; (e) cases@ivey.ca; </w:t>
      </w:r>
      <w:hyperlink r:id="rId5" w:history="1">
        <w:r w:rsidRPr="00167484">
          <w:rPr>
            <w:rStyle w:val="Hyperlink"/>
            <w:rFonts w:cs="Arial"/>
            <w:i/>
            <w:iCs/>
            <w:sz w:val="16"/>
            <w:szCs w:val="16"/>
            <w:lang w:val="en-US"/>
          </w:rPr>
          <w:t>www.iveycases.com</w:t>
        </w:r>
      </w:hyperlink>
      <w:r w:rsidRPr="00167484">
        <w:rPr>
          <w:rFonts w:cs="Arial"/>
          <w:i/>
          <w:iCs/>
          <w:sz w:val="16"/>
          <w:szCs w:val="16"/>
          <w:lang w:val="en-US"/>
        </w:rPr>
        <w:t>.</w:t>
      </w:r>
      <w:r w:rsidRPr="00167484">
        <w:rPr>
          <w:rFonts w:cs="Arial"/>
          <w:i/>
          <w:iCs/>
          <w:sz w:val="16"/>
          <w:szCs w:val="16"/>
          <w:lang w:val="en-US"/>
        </w:rPr>
        <w:t xml:space="preserve"> </w:t>
      </w:r>
      <w:r w:rsidRPr="00167484">
        <w:rPr>
          <w:rFonts w:cs="Arial"/>
          <w:i/>
          <w:iCs/>
          <w:sz w:val="16"/>
          <w:szCs w:val="16"/>
          <w:lang w:val="en-US"/>
        </w:rPr>
        <w:t>Copyright © 2013, Richard Ive</w:t>
      </w:r>
      <w:r w:rsidRPr="00167484">
        <w:rPr>
          <w:rFonts w:cs="Arial"/>
          <w:i/>
          <w:iCs/>
          <w:sz w:val="16"/>
          <w:szCs w:val="16"/>
          <w:lang w:val="en-US"/>
        </w:rPr>
        <w:t>y School of Business Foundation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6"/>
          <w:szCs w:val="16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4"/>
          <w:szCs w:val="14"/>
          <w:lang w:val="en-US"/>
        </w:rPr>
      </w:pPr>
      <w:r w:rsidRPr="00167484">
        <w:rPr>
          <w:rFonts w:cs="Arial"/>
          <w:sz w:val="14"/>
          <w:szCs w:val="14"/>
          <w:lang w:val="en-US"/>
        </w:rPr>
        <w:t>This document is authorized for educator review use only by Panagiotis Repoussis, Stevens Institute of Technology until November 2016. Copying or posting is an infringement of copyright.</w:t>
      </w:r>
      <w:r w:rsidR="00167484">
        <w:rPr>
          <w:rFonts w:cs="Arial"/>
          <w:sz w:val="14"/>
          <w:szCs w:val="14"/>
          <w:lang w:val="en-US"/>
        </w:rPr>
        <w:t xml:space="preserve"> </w:t>
      </w:r>
      <w:r w:rsidRPr="00167484">
        <w:rPr>
          <w:rFonts w:cs="Arial"/>
          <w:sz w:val="14"/>
          <w:szCs w:val="14"/>
          <w:lang w:val="en-US"/>
        </w:rPr>
        <w:t>Permissions@hbsp.harvard.edu or 617.783.7860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proofErr w:type="spellStart"/>
      <w:r w:rsidRPr="00167484">
        <w:rPr>
          <w:rFonts w:cs="Times New Roman"/>
          <w:sz w:val="18"/>
          <w:szCs w:val="18"/>
          <w:lang w:val="en-US"/>
        </w:rPr>
        <w:t>Shirish</w:t>
      </w:r>
      <w:proofErr w:type="spellEnd"/>
      <w:r w:rsidRPr="00167484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167484">
        <w:rPr>
          <w:rFonts w:cs="Times New Roman"/>
          <w:sz w:val="18"/>
          <w:szCs w:val="18"/>
          <w:lang w:val="en-US"/>
        </w:rPr>
        <w:t>Ratnaparkhi</w:t>
      </w:r>
      <w:proofErr w:type="spellEnd"/>
      <w:r w:rsidRPr="00167484">
        <w:rPr>
          <w:rFonts w:cs="Times New Roman"/>
          <w:sz w:val="18"/>
          <w:szCs w:val="18"/>
          <w:lang w:val="en-US"/>
        </w:rPr>
        <w:t>, operations manager at A-CAT Corporation (A-CAT), had to submit a forecasting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report concerning the sales of the company’s primary product — voltag</w:t>
      </w:r>
      <w:r w:rsidRPr="00167484">
        <w:rPr>
          <w:rFonts w:cs="Times New Roman"/>
          <w:sz w:val="18"/>
          <w:szCs w:val="18"/>
          <w:lang w:val="en-US"/>
        </w:rPr>
        <w:t xml:space="preserve">e stabilizers. </w:t>
      </w:r>
      <w:proofErr w:type="spellStart"/>
      <w:r w:rsidRPr="00167484">
        <w:rPr>
          <w:rFonts w:cs="Times New Roman"/>
          <w:sz w:val="18"/>
          <w:szCs w:val="18"/>
          <w:lang w:val="en-US"/>
        </w:rPr>
        <w:t>Ratnaparkhi</w:t>
      </w:r>
      <w:proofErr w:type="spellEnd"/>
      <w:r w:rsidRPr="00167484">
        <w:rPr>
          <w:rFonts w:cs="Times New Roman"/>
          <w:sz w:val="18"/>
          <w:szCs w:val="18"/>
          <w:lang w:val="en-US"/>
        </w:rPr>
        <w:t xml:space="preserve">, who </w:t>
      </w:r>
      <w:r w:rsidRPr="00167484">
        <w:rPr>
          <w:rFonts w:cs="Times New Roman"/>
          <w:sz w:val="18"/>
          <w:szCs w:val="18"/>
          <w:lang w:val="en-US"/>
        </w:rPr>
        <w:t>was handling the manufacturing department, wanted to get to the bottom of the matter before making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 xml:space="preserve">recommendations to his immediate superior, </w:t>
      </w:r>
      <w:proofErr w:type="gramStart"/>
      <w:r w:rsidRPr="00167484">
        <w:rPr>
          <w:rFonts w:cs="Times New Roman"/>
          <w:sz w:val="18"/>
          <w:szCs w:val="18"/>
          <w:lang w:val="en-US"/>
        </w:rPr>
        <w:t>vice-president</w:t>
      </w:r>
      <w:proofErr w:type="gramEnd"/>
      <w:r w:rsidRPr="00167484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167484">
        <w:rPr>
          <w:rFonts w:cs="Times New Roman"/>
          <w:sz w:val="18"/>
          <w:szCs w:val="18"/>
          <w:lang w:val="en-US"/>
        </w:rPr>
        <w:t>Arun</w:t>
      </w:r>
      <w:proofErr w:type="spellEnd"/>
      <w:r w:rsidRPr="00167484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167484">
        <w:rPr>
          <w:rFonts w:cs="Times New Roman"/>
          <w:sz w:val="18"/>
          <w:szCs w:val="18"/>
          <w:lang w:val="en-US"/>
        </w:rPr>
        <w:t>Mittra</w:t>
      </w:r>
      <w:proofErr w:type="spellEnd"/>
      <w:r w:rsidRPr="00167484">
        <w:rPr>
          <w:rFonts w:cs="Times New Roman"/>
          <w:sz w:val="18"/>
          <w:szCs w:val="18"/>
          <w:lang w:val="en-US"/>
        </w:rPr>
        <w:t>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proofErr w:type="spellStart"/>
      <w:r w:rsidRPr="00167484">
        <w:rPr>
          <w:rFonts w:cs="Times New Roman"/>
          <w:sz w:val="18"/>
          <w:szCs w:val="18"/>
          <w:lang w:val="en-US"/>
        </w:rPr>
        <w:t>Ratnaparkhi</w:t>
      </w:r>
      <w:proofErr w:type="spellEnd"/>
      <w:r w:rsidRPr="00167484">
        <w:rPr>
          <w:rFonts w:cs="Times New Roman"/>
          <w:sz w:val="18"/>
          <w:szCs w:val="18"/>
          <w:lang w:val="en-US"/>
        </w:rPr>
        <w:t xml:space="preserve"> remarked: “If we have worked out all the factors and know the </w:t>
      </w:r>
      <w:r w:rsidRPr="00167484">
        <w:rPr>
          <w:rFonts w:cs="Times New Roman"/>
          <w:sz w:val="18"/>
          <w:szCs w:val="18"/>
          <w:lang w:val="en-US"/>
        </w:rPr>
        <w:t xml:space="preserve">right figures, then there is no </w:t>
      </w:r>
      <w:r w:rsidRPr="00167484">
        <w:rPr>
          <w:rFonts w:cs="Times New Roman"/>
          <w:sz w:val="18"/>
          <w:szCs w:val="18"/>
          <w:lang w:val="en-US"/>
        </w:rPr>
        <w:t>reason that we cannot foresee the future correctly — provided that everyt</w:t>
      </w:r>
      <w:r w:rsidRPr="00167484">
        <w:rPr>
          <w:rFonts w:cs="Times New Roman"/>
          <w:sz w:val="18"/>
          <w:szCs w:val="18"/>
          <w:lang w:val="en-US"/>
        </w:rPr>
        <w:t xml:space="preserve">hing we presume turns out to be </w:t>
      </w:r>
      <w:r w:rsidRPr="00167484">
        <w:rPr>
          <w:rFonts w:cs="Times New Roman"/>
          <w:sz w:val="18"/>
          <w:szCs w:val="18"/>
          <w:lang w:val="en-US"/>
        </w:rPr>
        <w:t>how we predicted it to be. Otherwise, even the best of the forecasting techniques will fail.”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18"/>
          <w:szCs w:val="18"/>
          <w:lang w:val="en-US"/>
        </w:rPr>
      </w:pPr>
      <w:r w:rsidRPr="00167484">
        <w:rPr>
          <w:rFonts w:cs="Arial,Bold"/>
          <w:b/>
          <w:bCs/>
          <w:sz w:val="18"/>
          <w:szCs w:val="18"/>
          <w:lang w:val="en-US"/>
        </w:rPr>
        <w:t>THE COMPANY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r w:rsidRPr="00167484">
        <w:rPr>
          <w:rFonts w:cs="Times New Roman"/>
          <w:sz w:val="18"/>
          <w:szCs w:val="18"/>
          <w:lang w:val="en-US"/>
        </w:rPr>
        <w:t>A-CAT was one of the leading producers of electrical appliances in India</w:t>
      </w:r>
      <w:r w:rsidRPr="00167484">
        <w:rPr>
          <w:rFonts w:cs="Times New Roman"/>
          <w:sz w:val="18"/>
          <w:szCs w:val="18"/>
          <w:lang w:val="en-US"/>
        </w:rPr>
        <w:t xml:space="preserve">. It competed with and belonged </w:t>
      </w:r>
      <w:r w:rsidRPr="00167484">
        <w:rPr>
          <w:rFonts w:cs="Times New Roman"/>
          <w:sz w:val="18"/>
          <w:szCs w:val="18"/>
          <w:lang w:val="en-US"/>
        </w:rPr>
        <w:t>to the category of medium scale industry, which produced and distributed</w:t>
      </w:r>
      <w:r w:rsidRPr="00167484">
        <w:rPr>
          <w:rFonts w:cs="Times New Roman"/>
          <w:sz w:val="18"/>
          <w:szCs w:val="18"/>
          <w:lang w:val="en-US"/>
        </w:rPr>
        <w:t xml:space="preserve"> domestic electrical appliances </w:t>
      </w:r>
      <w:r w:rsidRPr="00167484">
        <w:rPr>
          <w:rFonts w:cs="Times New Roman"/>
          <w:sz w:val="18"/>
          <w:szCs w:val="18"/>
          <w:lang w:val="en-US"/>
        </w:rPr>
        <w:t xml:space="preserve">to the rural population in and around the </w:t>
      </w:r>
      <w:proofErr w:type="spellStart"/>
      <w:r w:rsidRPr="00167484">
        <w:rPr>
          <w:rFonts w:cs="Times New Roman"/>
          <w:sz w:val="18"/>
          <w:szCs w:val="18"/>
          <w:lang w:val="en-US"/>
        </w:rPr>
        <w:t>Vidarbha</w:t>
      </w:r>
      <w:proofErr w:type="spellEnd"/>
      <w:r w:rsidRPr="00167484">
        <w:rPr>
          <w:rFonts w:cs="Times New Roman"/>
          <w:sz w:val="18"/>
          <w:szCs w:val="18"/>
          <w:lang w:val="en-US"/>
        </w:rPr>
        <w:t xml:space="preserve"> region. The company owned and operated two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 xml:space="preserve">medium-sized manufacturing units in a sleepy town called </w:t>
      </w:r>
      <w:proofErr w:type="spellStart"/>
      <w:r w:rsidRPr="00167484">
        <w:rPr>
          <w:rFonts w:cs="Times New Roman"/>
          <w:sz w:val="18"/>
          <w:szCs w:val="18"/>
          <w:lang w:val="en-US"/>
        </w:rPr>
        <w:t>Gondia</w:t>
      </w:r>
      <w:proofErr w:type="spellEnd"/>
      <w:r w:rsidRPr="00167484">
        <w:rPr>
          <w:rFonts w:cs="Times New Roman"/>
          <w:sz w:val="18"/>
          <w:szCs w:val="18"/>
          <w:lang w:val="en-US"/>
        </w:rPr>
        <w:t>, in one of the remote districts in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167484">
        <w:rPr>
          <w:rFonts w:cs="Times New Roman"/>
          <w:sz w:val="18"/>
          <w:szCs w:val="18"/>
          <w:lang w:val="en-US"/>
        </w:rPr>
        <w:t>Vidarbha</w:t>
      </w:r>
      <w:proofErr w:type="spellEnd"/>
      <w:r w:rsidRPr="00167484">
        <w:rPr>
          <w:rFonts w:cs="Times New Roman"/>
          <w:sz w:val="18"/>
          <w:szCs w:val="18"/>
          <w:lang w:val="en-US"/>
        </w:rPr>
        <w:t>, ironically a backward region in the most progressive state of India, Maharashtra. A-CAT had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an alliance partnership with Jupiter Inc. for the production of cabinets and had a collaborative venture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with Global Electricals for manufacturing TV signal boosters and battery chargers.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r w:rsidRPr="00167484">
        <w:rPr>
          <w:rFonts w:cs="Times New Roman"/>
          <w:sz w:val="18"/>
          <w:szCs w:val="18"/>
          <w:lang w:val="en-US"/>
        </w:rPr>
        <w:t>A-CAT’s manufacturing units had been in operation since 1986. The budget year 2010—</w:t>
      </w:r>
      <w:r w:rsidRPr="00167484">
        <w:rPr>
          <w:rFonts w:cs="Times New Roman"/>
          <w:sz w:val="18"/>
          <w:szCs w:val="18"/>
          <w:lang w:val="en-US"/>
        </w:rPr>
        <w:t xml:space="preserve">2011 showed </w:t>
      </w:r>
      <w:r w:rsidRPr="00167484">
        <w:rPr>
          <w:rFonts w:cs="Times New Roman"/>
          <w:sz w:val="18"/>
          <w:szCs w:val="18"/>
          <w:lang w:val="en-US"/>
        </w:rPr>
        <w:t xml:space="preserve">annual sales of </w:t>
      </w:r>
      <w:proofErr w:type="spellStart"/>
      <w:r w:rsidRPr="00167484">
        <w:rPr>
          <w:rFonts w:cs="Times New Roman"/>
          <w:sz w:val="18"/>
          <w:szCs w:val="18"/>
          <w:lang w:val="en-US"/>
        </w:rPr>
        <w:t>Rs</w:t>
      </w:r>
      <w:proofErr w:type="spellEnd"/>
      <w:r w:rsidRPr="00167484">
        <w:rPr>
          <w:rFonts w:cs="Times New Roman"/>
          <w:sz w:val="18"/>
          <w:szCs w:val="18"/>
          <w:lang w:val="en-US"/>
        </w:rPr>
        <w:t>. 9,800,000, and the company employed about 40 employees. The primary functio</w:t>
      </w:r>
      <w:r w:rsidRPr="00167484">
        <w:rPr>
          <w:rFonts w:cs="Times New Roman"/>
          <w:sz w:val="18"/>
          <w:szCs w:val="18"/>
          <w:lang w:val="en-US"/>
        </w:rPr>
        <w:t xml:space="preserve">nal </w:t>
      </w:r>
      <w:r w:rsidRPr="00167484">
        <w:rPr>
          <w:rFonts w:cs="Times New Roman"/>
          <w:sz w:val="18"/>
          <w:szCs w:val="18"/>
          <w:lang w:val="en-US"/>
        </w:rPr>
        <w:t>departments of A-CAT were its purchasing department, design depar</w:t>
      </w:r>
      <w:r w:rsidRPr="00167484">
        <w:rPr>
          <w:rFonts w:cs="Times New Roman"/>
          <w:sz w:val="18"/>
          <w:szCs w:val="18"/>
          <w:lang w:val="en-US"/>
        </w:rPr>
        <w:t xml:space="preserve">tment, manufacturing department </w:t>
      </w:r>
      <w:r w:rsidRPr="00167484">
        <w:rPr>
          <w:rFonts w:cs="Times New Roman"/>
          <w:sz w:val="18"/>
          <w:szCs w:val="18"/>
          <w:lang w:val="en-US"/>
        </w:rPr>
        <w:t>and sales and service department.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r w:rsidRPr="00167484">
        <w:rPr>
          <w:rFonts w:cs="Times New Roman"/>
          <w:sz w:val="18"/>
          <w:szCs w:val="18"/>
          <w:lang w:val="en-US"/>
        </w:rPr>
        <w:t>A-CAT’s primary flagship product was a voltage regulator of 500 kilov</w:t>
      </w:r>
      <w:r w:rsidRPr="00167484">
        <w:rPr>
          <w:rFonts w:cs="Times New Roman"/>
          <w:sz w:val="18"/>
          <w:szCs w:val="18"/>
          <w:lang w:val="en-US"/>
        </w:rPr>
        <w:t xml:space="preserve">olt amps (KVA) that was branded </w:t>
      </w:r>
      <w:r w:rsidRPr="00167484">
        <w:rPr>
          <w:rFonts w:cs="Times New Roman"/>
          <w:sz w:val="18"/>
          <w:szCs w:val="18"/>
          <w:lang w:val="en-US"/>
        </w:rPr>
        <w:t>and sold under the tag of VR-500. These voltage regulators were used for varied purposes but were most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commonly used in households as a protective device for refrigerators and television sets, so as to protect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the latter from the vagaries of load fluctuations and/or frequent power failures, which were a very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 xml:space="preserve">common phenomenon in </w:t>
      </w:r>
      <w:proofErr w:type="spellStart"/>
      <w:r w:rsidRPr="00167484">
        <w:rPr>
          <w:rFonts w:cs="Times New Roman"/>
          <w:sz w:val="18"/>
          <w:szCs w:val="18"/>
          <w:lang w:val="en-US"/>
        </w:rPr>
        <w:t>Vidarbha</w:t>
      </w:r>
      <w:proofErr w:type="spellEnd"/>
      <w:r w:rsidRPr="00167484">
        <w:rPr>
          <w:rFonts w:cs="Times New Roman"/>
          <w:sz w:val="18"/>
          <w:szCs w:val="18"/>
          <w:lang w:val="en-US"/>
        </w:rPr>
        <w:t>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r w:rsidRPr="00167484">
        <w:rPr>
          <w:rFonts w:cs="Times New Roman"/>
          <w:sz w:val="18"/>
          <w:szCs w:val="18"/>
          <w:lang w:val="en-US"/>
        </w:rPr>
        <w:t xml:space="preserve">Instead of competing with the large-scale operations prevalent in a </w:t>
      </w:r>
      <w:r w:rsidRPr="00167484">
        <w:rPr>
          <w:rFonts w:cs="Times New Roman"/>
          <w:sz w:val="18"/>
          <w:szCs w:val="18"/>
          <w:lang w:val="en-US"/>
        </w:rPr>
        <w:t xml:space="preserve">similar type of industry, A-CAT </w:t>
      </w:r>
      <w:r w:rsidRPr="00167484">
        <w:rPr>
          <w:rFonts w:cs="Times New Roman"/>
          <w:sz w:val="18"/>
          <w:szCs w:val="18"/>
          <w:lang w:val="en-US"/>
        </w:rPr>
        <w:t xml:space="preserve">preferred to focus on the rural segment. The company offered nearly </w:t>
      </w:r>
      <w:r w:rsidRPr="00167484">
        <w:rPr>
          <w:rFonts w:cs="Times New Roman"/>
          <w:sz w:val="18"/>
          <w:szCs w:val="18"/>
          <w:lang w:val="en-US"/>
        </w:rPr>
        <w:t xml:space="preserve">100 different models of various </w:t>
      </w:r>
      <w:r w:rsidRPr="00167484">
        <w:rPr>
          <w:rFonts w:cs="Times New Roman"/>
          <w:sz w:val="18"/>
          <w:szCs w:val="18"/>
          <w:lang w:val="en-US"/>
        </w:rPr>
        <w:t>electrical appliances for household use, including TV signal boosters, FM radio kits, electronic ballasts,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battery chargers and voltage regulators. The broad range of products catered</w:t>
      </w:r>
      <w:r w:rsidRPr="00167484">
        <w:rPr>
          <w:rFonts w:cs="Times New Roman"/>
          <w:sz w:val="18"/>
          <w:szCs w:val="18"/>
          <w:lang w:val="en-US"/>
        </w:rPr>
        <w:t xml:space="preserve"> to the rural population in and </w:t>
      </w:r>
      <w:r w:rsidRPr="00167484">
        <w:rPr>
          <w:rFonts w:cs="Times New Roman"/>
          <w:sz w:val="18"/>
          <w:szCs w:val="18"/>
          <w:lang w:val="en-US"/>
        </w:rPr>
        <w:t xml:space="preserve">around the district and </w:t>
      </w:r>
      <w:proofErr w:type="spellStart"/>
      <w:r w:rsidRPr="00167484">
        <w:rPr>
          <w:rFonts w:cs="Times New Roman"/>
          <w:sz w:val="18"/>
          <w:szCs w:val="18"/>
          <w:lang w:val="en-US"/>
        </w:rPr>
        <w:t>Gondia</w:t>
      </w:r>
      <w:proofErr w:type="spellEnd"/>
      <w:r w:rsidRPr="00167484">
        <w:rPr>
          <w:rFonts w:cs="Times New Roman"/>
          <w:sz w:val="18"/>
          <w:szCs w:val="18"/>
          <w:lang w:val="en-US"/>
        </w:rPr>
        <w:t>, which comprised a large population. At the low end of the market were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customers who were quite sensitive towards pricing. In the opinion of top level management, there was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more scope in this segment of the market. They had been proved right but were worried that this situation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was not going to last long and that the downward trend in sales was getting worse.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18"/>
          <w:szCs w:val="18"/>
          <w:lang w:val="en-US"/>
        </w:rPr>
      </w:pPr>
      <w:r w:rsidRPr="00167484">
        <w:rPr>
          <w:rFonts w:cs="Arial,Bold"/>
          <w:b/>
          <w:bCs/>
          <w:sz w:val="18"/>
          <w:szCs w:val="18"/>
          <w:lang w:val="en-US"/>
        </w:rPr>
        <w:t>THE ISSUE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r w:rsidRPr="00167484">
        <w:rPr>
          <w:rFonts w:cs="Times New Roman"/>
          <w:sz w:val="18"/>
          <w:szCs w:val="18"/>
          <w:lang w:val="en-US"/>
        </w:rPr>
        <w:t>During the past few months, the sales of voltage regulators had fallen off. In reaction, A-CAT recently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started deliberating on its policy of purchasing and stocking spares and components in the system,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especially with regard to schedule and stock-in-hand inventory. The firm stored all its spares and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components, including the transformers, in its factory store.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r w:rsidRPr="00167484">
        <w:rPr>
          <w:rFonts w:cs="Times New Roman"/>
          <w:sz w:val="18"/>
          <w:szCs w:val="18"/>
          <w:lang w:val="en-US"/>
        </w:rPr>
        <w:t>A few of the functional department heads were questioning the n</w:t>
      </w:r>
      <w:r w:rsidRPr="00167484">
        <w:rPr>
          <w:rFonts w:cs="Times New Roman"/>
          <w:sz w:val="18"/>
          <w:szCs w:val="18"/>
          <w:lang w:val="en-US"/>
        </w:rPr>
        <w:t xml:space="preserve">ature of keeping a big stock of </w:t>
      </w:r>
      <w:r w:rsidRPr="00167484">
        <w:rPr>
          <w:rFonts w:cs="Times New Roman"/>
          <w:sz w:val="18"/>
          <w:szCs w:val="18"/>
          <w:lang w:val="en-US"/>
        </w:rPr>
        <w:t>transformers on hand. Since a large number of products manufactured</w:t>
      </w:r>
      <w:r w:rsidRPr="00167484">
        <w:rPr>
          <w:rFonts w:cs="Times New Roman"/>
          <w:sz w:val="18"/>
          <w:szCs w:val="18"/>
          <w:lang w:val="en-US"/>
        </w:rPr>
        <w:t xml:space="preserve"> and sold by A-CAT, such as the </w:t>
      </w:r>
      <w:r w:rsidRPr="00167484">
        <w:rPr>
          <w:rFonts w:cs="Times New Roman"/>
          <w:sz w:val="18"/>
          <w:szCs w:val="18"/>
          <w:lang w:val="en-US"/>
        </w:rPr>
        <w:t>voltage regulator, had a transformer as one of their principal or primary</w:t>
      </w:r>
      <w:r w:rsidRPr="00167484">
        <w:rPr>
          <w:rFonts w:cs="Times New Roman"/>
          <w:sz w:val="18"/>
          <w:szCs w:val="18"/>
          <w:lang w:val="en-US"/>
        </w:rPr>
        <w:t xml:space="preserve"> components, the store managers </w:t>
      </w:r>
      <w:r w:rsidRPr="00167484">
        <w:rPr>
          <w:rFonts w:cs="Times New Roman"/>
          <w:sz w:val="18"/>
          <w:szCs w:val="18"/>
          <w:lang w:val="en-US"/>
        </w:rPr>
        <w:t>always tried to keep a good quantity of spares as a buffer for this vital part.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r w:rsidRPr="00167484">
        <w:rPr>
          <w:rFonts w:cs="Times New Roman"/>
          <w:sz w:val="18"/>
          <w:szCs w:val="18"/>
          <w:lang w:val="en-US"/>
        </w:rPr>
        <w:t>Orders for the main product of A-CAT — that is, voltage regulators — ca</w:t>
      </w:r>
      <w:r w:rsidRPr="00167484">
        <w:rPr>
          <w:rFonts w:cs="Times New Roman"/>
          <w:sz w:val="18"/>
          <w:szCs w:val="18"/>
          <w:lang w:val="en-US"/>
        </w:rPr>
        <w:t xml:space="preserve">me in throughout the year. Most </w:t>
      </w:r>
      <w:r w:rsidRPr="00167484">
        <w:rPr>
          <w:rFonts w:cs="Times New Roman"/>
          <w:sz w:val="18"/>
          <w:szCs w:val="18"/>
          <w:lang w:val="en-US"/>
        </w:rPr>
        <w:t xml:space="preserve">of the time, these orders were categorized as “rush orders,” and the store </w:t>
      </w:r>
      <w:r w:rsidRPr="00167484">
        <w:rPr>
          <w:rFonts w:cs="Times New Roman"/>
          <w:sz w:val="18"/>
          <w:szCs w:val="18"/>
          <w:lang w:val="en-US"/>
        </w:rPr>
        <w:t xml:space="preserve">managers knew that the supplier </w:t>
      </w:r>
      <w:r w:rsidRPr="00167484">
        <w:rPr>
          <w:rFonts w:cs="Times New Roman"/>
          <w:sz w:val="18"/>
          <w:szCs w:val="18"/>
          <w:lang w:val="en-US"/>
        </w:rPr>
        <w:t>of the transformers required for the product needed at least one week, if not more, for delivery.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r w:rsidRPr="00167484">
        <w:rPr>
          <w:rFonts w:cs="Times New Roman"/>
          <w:sz w:val="18"/>
          <w:szCs w:val="18"/>
          <w:lang w:val="en-US"/>
        </w:rPr>
        <w:lastRenderedPageBreak/>
        <w:t xml:space="preserve">On top of this, it was likely that the transformer supplier would raise prices </w:t>
      </w:r>
      <w:r w:rsidRPr="00167484">
        <w:rPr>
          <w:rFonts w:cs="Times New Roman"/>
          <w:sz w:val="18"/>
          <w:szCs w:val="18"/>
          <w:lang w:val="en-US"/>
        </w:rPr>
        <w:t xml:space="preserve">if uniformity and continuity in </w:t>
      </w:r>
      <w:r w:rsidRPr="00167484">
        <w:rPr>
          <w:rFonts w:cs="Times New Roman"/>
          <w:sz w:val="18"/>
          <w:szCs w:val="18"/>
          <w:lang w:val="en-US"/>
        </w:rPr>
        <w:t>placing of orders for transformers was not guaranteed. Placing orders beyond</w:t>
      </w:r>
      <w:r w:rsidRPr="00167484">
        <w:rPr>
          <w:rFonts w:cs="Times New Roman"/>
          <w:sz w:val="18"/>
          <w:szCs w:val="18"/>
          <w:lang w:val="en-US"/>
        </w:rPr>
        <w:t xml:space="preserve"> a certain limit also stretched </w:t>
      </w:r>
      <w:r w:rsidRPr="00167484">
        <w:rPr>
          <w:rFonts w:cs="Times New Roman"/>
          <w:sz w:val="18"/>
          <w:szCs w:val="18"/>
          <w:lang w:val="en-US"/>
        </w:rPr>
        <w:t>the system — whereas A-CAT had previously had access to four suppliers, now there was only one</w:t>
      </w:r>
      <w:r w:rsidRPr="00167484">
        <w:rPr>
          <w:rFonts w:cs="Times New Roman"/>
          <w:sz w:val="18"/>
          <w:szCs w:val="18"/>
          <w:lang w:val="en-US"/>
        </w:rPr>
        <w:t xml:space="preserve"> [</w:t>
      </w:r>
      <w:r w:rsidRPr="00167484">
        <w:rPr>
          <w:rFonts w:cs="Arial"/>
          <w:i/>
          <w:iCs/>
          <w:sz w:val="18"/>
          <w:szCs w:val="18"/>
          <w:lang w:val="en-US"/>
        </w:rPr>
        <w:t xml:space="preserve">Refer to </w:t>
      </w:r>
      <w:proofErr w:type="spellStart"/>
      <w:r w:rsidRPr="00167484">
        <w:rPr>
          <w:rFonts w:cs="Arial"/>
          <w:i/>
          <w:iCs/>
          <w:sz w:val="18"/>
          <w:szCs w:val="18"/>
          <w:lang w:val="en-US"/>
        </w:rPr>
        <w:t>Jitendra</w:t>
      </w:r>
      <w:proofErr w:type="spellEnd"/>
      <w:r w:rsidRPr="00167484">
        <w:rPr>
          <w:rFonts w:cs="Arial"/>
          <w:i/>
          <w:iCs/>
          <w:sz w:val="18"/>
          <w:szCs w:val="18"/>
          <w:lang w:val="en-US"/>
        </w:rPr>
        <w:t xml:space="preserve"> Sharma, “Decision Making at A-CAT,” Ivey Case No. 9B11D011, September 19, 2011</w:t>
      </w:r>
      <w:r w:rsidRPr="00167484">
        <w:rPr>
          <w:rFonts w:cs="Times New Roman"/>
          <w:sz w:val="18"/>
          <w:szCs w:val="18"/>
          <w:lang w:val="en-US"/>
        </w:rPr>
        <w:t>]</w:t>
      </w:r>
      <w:r w:rsidRPr="00167484">
        <w:rPr>
          <w:rFonts w:cs="Times New Roman"/>
          <w:sz w:val="18"/>
          <w:szCs w:val="18"/>
          <w:lang w:val="en-US"/>
        </w:rPr>
        <w:t>.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Thus, ordering too many transformers not only exposed the capacity constraints at the supplier’s end but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also led to a substantial tie-up of the company’s cash reserves. Moreover, the blocking of capital had a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domino effect on the purchase and inventories of other products’ spares and components. Considering the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 xml:space="preserve">prevailing market scenario and the economic outlook, A-CAT could </w:t>
      </w:r>
      <w:r w:rsidRPr="00167484">
        <w:rPr>
          <w:rFonts w:cs="Times New Roman"/>
          <w:sz w:val="18"/>
          <w:szCs w:val="18"/>
          <w:lang w:val="en-US"/>
        </w:rPr>
        <w:t xml:space="preserve">not afford to fight problems on </w:t>
      </w:r>
      <w:r w:rsidRPr="00167484">
        <w:rPr>
          <w:rFonts w:cs="Times New Roman"/>
          <w:sz w:val="18"/>
          <w:szCs w:val="18"/>
          <w:lang w:val="en-US"/>
        </w:rPr>
        <w:t>different fronts.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r w:rsidRPr="00167484">
        <w:rPr>
          <w:rFonts w:cs="Times New Roman"/>
          <w:sz w:val="18"/>
          <w:szCs w:val="18"/>
          <w:lang w:val="en-US"/>
        </w:rPr>
        <w:t>An increased cost of its primary spare component was the last thing A-CAT needed. A</w:t>
      </w:r>
      <w:r w:rsidRPr="00167484">
        <w:rPr>
          <w:rFonts w:cs="Times New Roman"/>
          <w:sz w:val="18"/>
          <w:szCs w:val="18"/>
          <w:lang w:val="en-US"/>
        </w:rPr>
        <w:t xml:space="preserve">lthough the </w:t>
      </w:r>
      <w:r w:rsidRPr="00167484">
        <w:rPr>
          <w:rFonts w:cs="Times New Roman"/>
          <w:sz w:val="18"/>
          <w:szCs w:val="18"/>
          <w:lang w:val="en-US"/>
        </w:rPr>
        <w:t>revenue and profits for the whole organization had steadily grown over the y</w:t>
      </w:r>
      <w:r w:rsidRPr="00167484">
        <w:rPr>
          <w:rFonts w:cs="Times New Roman"/>
          <w:sz w:val="18"/>
          <w:szCs w:val="18"/>
          <w:lang w:val="en-US"/>
        </w:rPr>
        <w:t xml:space="preserve">ears of its existence, sales of </w:t>
      </w:r>
      <w:r w:rsidRPr="00167484">
        <w:rPr>
          <w:rFonts w:cs="Times New Roman"/>
          <w:sz w:val="18"/>
          <w:szCs w:val="18"/>
          <w:lang w:val="en-US"/>
        </w:rPr>
        <w:t>voltage regulators had been quite volatile. They were already showing a sluggish year-on-year growth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rate in comparison to their closest competitors.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r w:rsidRPr="00167484">
        <w:rPr>
          <w:rFonts w:cs="Times New Roman"/>
          <w:sz w:val="18"/>
          <w:szCs w:val="18"/>
          <w:lang w:val="en-US"/>
        </w:rPr>
        <w:t>The sales division was supposed to forecast the demand for volt</w:t>
      </w:r>
      <w:r w:rsidRPr="00167484">
        <w:rPr>
          <w:rFonts w:cs="Times New Roman"/>
          <w:sz w:val="18"/>
          <w:szCs w:val="18"/>
          <w:lang w:val="en-US"/>
        </w:rPr>
        <w:t xml:space="preserve">age regulators as a measure for </w:t>
      </w:r>
      <w:r w:rsidRPr="00167484">
        <w:rPr>
          <w:rFonts w:cs="Times New Roman"/>
          <w:sz w:val="18"/>
          <w:szCs w:val="18"/>
          <w:lang w:val="en-US"/>
        </w:rPr>
        <w:t>determining the right amount of transformers to keep in inventory. T</w:t>
      </w:r>
      <w:r w:rsidRPr="00167484">
        <w:rPr>
          <w:rFonts w:cs="Times New Roman"/>
          <w:sz w:val="18"/>
          <w:szCs w:val="18"/>
          <w:lang w:val="en-US"/>
        </w:rPr>
        <w:t xml:space="preserve">hough transformers were used in </w:t>
      </w:r>
      <w:r w:rsidRPr="00167484">
        <w:rPr>
          <w:rFonts w:cs="Times New Roman"/>
          <w:sz w:val="18"/>
          <w:szCs w:val="18"/>
          <w:lang w:val="en-US"/>
        </w:rPr>
        <w:t>other A-CAT products, the company decided to consider only the issue of the number of transformers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required for voltage regulators.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r w:rsidRPr="00167484">
        <w:rPr>
          <w:rFonts w:cs="Times New Roman"/>
          <w:sz w:val="18"/>
          <w:szCs w:val="18"/>
          <w:lang w:val="en-US"/>
        </w:rPr>
        <w:t>TVs, refrigerators, washing machines and other white goods used voltag</w:t>
      </w:r>
      <w:r w:rsidRPr="00167484">
        <w:rPr>
          <w:rFonts w:cs="Times New Roman"/>
          <w:sz w:val="18"/>
          <w:szCs w:val="18"/>
          <w:lang w:val="en-US"/>
        </w:rPr>
        <w:t xml:space="preserve">e regulators as a guard against </w:t>
      </w:r>
      <w:r w:rsidRPr="00167484">
        <w:rPr>
          <w:rFonts w:cs="Times New Roman"/>
          <w:sz w:val="18"/>
          <w:szCs w:val="18"/>
          <w:lang w:val="en-US"/>
        </w:rPr>
        <w:t>potential voltage fluctuations and hence the resulting forecast of voltage regulators had an effect on the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supply chain. It also had an impact on the number of workers called in for shifts, resulting in scheduling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issues.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18"/>
          <w:szCs w:val="18"/>
          <w:lang w:val="en-US"/>
        </w:rPr>
      </w:pPr>
      <w:r w:rsidRPr="00167484">
        <w:rPr>
          <w:rFonts w:cs="Arial,Bold"/>
          <w:b/>
          <w:bCs/>
          <w:sz w:val="18"/>
          <w:szCs w:val="18"/>
          <w:lang w:val="en-US"/>
        </w:rPr>
        <w:t>THE BRIEF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r w:rsidRPr="00167484">
        <w:rPr>
          <w:rFonts w:cs="Times New Roman"/>
          <w:sz w:val="18"/>
          <w:szCs w:val="18"/>
          <w:lang w:val="en-US"/>
        </w:rPr>
        <w:t xml:space="preserve">Vice-president </w:t>
      </w:r>
      <w:proofErr w:type="spellStart"/>
      <w:r w:rsidRPr="00167484">
        <w:rPr>
          <w:rFonts w:cs="Times New Roman"/>
          <w:sz w:val="18"/>
          <w:szCs w:val="18"/>
          <w:lang w:val="en-US"/>
        </w:rPr>
        <w:t>Arun</w:t>
      </w:r>
      <w:proofErr w:type="spellEnd"/>
      <w:r w:rsidRPr="00167484">
        <w:rPr>
          <w:rFonts w:cs="Times New Roman"/>
          <w:sz w:val="18"/>
          <w:szCs w:val="18"/>
          <w:lang w:val="en-US"/>
        </w:rPr>
        <w:t xml:space="preserve"> </w:t>
      </w:r>
      <w:proofErr w:type="spellStart"/>
      <w:r w:rsidRPr="00167484">
        <w:rPr>
          <w:rFonts w:cs="Times New Roman"/>
          <w:sz w:val="18"/>
          <w:szCs w:val="18"/>
          <w:lang w:val="en-US"/>
        </w:rPr>
        <w:t>Mittra</w:t>
      </w:r>
      <w:proofErr w:type="spellEnd"/>
      <w:r w:rsidRPr="00167484">
        <w:rPr>
          <w:rFonts w:cs="Times New Roman"/>
          <w:sz w:val="18"/>
          <w:szCs w:val="18"/>
          <w:lang w:val="en-US"/>
        </w:rPr>
        <w:t xml:space="preserve"> carried out several rounds of discussion at diffe</w:t>
      </w:r>
      <w:r w:rsidRPr="00167484">
        <w:rPr>
          <w:rFonts w:cs="Times New Roman"/>
          <w:sz w:val="18"/>
          <w:szCs w:val="18"/>
          <w:lang w:val="en-US"/>
        </w:rPr>
        <w:t xml:space="preserve">rent levels in this regard, but </w:t>
      </w:r>
      <w:r w:rsidRPr="00167484">
        <w:rPr>
          <w:rFonts w:cs="Times New Roman"/>
          <w:sz w:val="18"/>
          <w:szCs w:val="18"/>
          <w:lang w:val="en-US"/>
        </w:rPr>
        <w:t>they failed to completely resolve the issue. So he decided to take the matter in his own hands and called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for a comprehensive data report of sales figures for the last several years.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proofErr w:type="spellStart"/>
      <w:r w:rsidRPr="00167484">
        <w:rPr>
          <w:rFonts w:cs="Times New Roman"/>
          <w:sz w:val="18"/>
          <w:szCs w:val="18"/>
          <w:lang w:val="en-US"/>
        </w:rPr>
        <w:t>Mittra</w:t>
      </w:r>
      <w:proofErr w:type="spellEnd"/>
      <w:r w:rsidRPr="00167484">
        <w:rPr>
          <w:rFonts w:cs="Times New Roman"/>
          <w:sz w:val="18"/>
          <w:szCs w:val="18"/>
          <w:lang w:val="en-US"/>
        </w:rPr>
        <w:t xml:space="preserve"> deliberated on this for a while and asked his secretary to contact hi</w:t>
      </w:r>
      <w:r w:rsidRPr="00167484">
        <w:rPr>
          <w:rFonts w:cs="Times New Roman"/>
          <w:sz w:val="18"/>
          <w:szCs w:val="18"/>
          <w:lang w:val="en-US"/>
        </w:rPr>
        <w:t xml:space="preserve">s operations head for an urgent </w:t>
      </w:r>
      <w:r w:rsidRPr="00167484">
        <w:rPr>
          <w:rFonts w:cs="Times New Roman"/>
          <w:sz w:val="18"/>
          <w:szCs w:val="18"/>
          <w:lang w:val="en-US"/>
        </w:rPr>
        <w:t>meeting. He said,</w:t>
      </w:r>
      <w:r w:rsidRPr="00167484">
        <w:rPr>
          <w:rFonts w:cs="Times New Roman"/>
          <w:sz w:val="18"/>
          <w:szCs w:val="18"/>
          <w:lang w:val="en-US"/>
        </w:rPr>
        <w:t xml:space="preserve"> “</w:t>
      </w:r>
      <w:r w:rsidRPr="00167484">
        <w:rPr>
          <w:rFonts w:cs="Times New Roman"/>
          <w:sz w:val="18"/>
          <w:szCs w:val="18"/>
          <w:lang w:val="en-US"/>
        </w:rPr>
        <w:t>We have always estimated how many transformers will be need</w:t>
      </w:r>
      <w:r w:rsidRPr="00167484">
        <w:rPr>
          <w:rFonts w:cs="Times New Roman"/>
          <w:sz w:val="18"/>
          <w:szCs w:val="18"/>
          <w:lang w:val="en-US"/>
        </w:rPr>
        <w:t xml:space="preserve">ed to meet demand for our final </w:t>
      </w:r>
      <w:r w:rsidRPr="00167484">
        <w:rPr>
          <w:rFonts w:cs="Times New Roman"/>
          <w:sz w:val="18"/>
          <w:szCs w:val="18"/>
          <w:lang w:val="en-US"/>
        </w:rPr>
        <w:t>products, especially for voltage regulators. The usual method is to look at the sales figure of the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last two to three months and also the sales figure of the last two years in the same month and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make a guess as to how many transformers will be needed to sell this many voltage regulators.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With this method, we were able to manage quite well until now; however, the general complaint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is that either we have too many transformers in stock or there are times when there are not enough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to even meet our normal production levels. It’s a classic case of both under-stocking and overstocking.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In either case, we are facing troubles at the final product delivery front and also our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supplier is raising a lot of objections about our haphazard manner of placing orders.</w:t>
      </w:r>
      <w:r w:rsidRPr="00167484">
        <w:rPr>
          <w:rFonts w:cs="Times New Roman"/>
          <w:sz w:val="18"/>
          <w:szCs w:val="18"/>
          <w:lang w:val="en-US"/>
        </w:rPr>
        <w:t>”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r w:rsidRPr="00167484">
        <w:rPr>
          <w:rFonts w:cs="Times New Roman"/>
          <w:sz w:val="18"/>
          <w:szCs w:val="18"/>
          <w:lang w:val="en-US"/>
        </w:rPr>
        <w:t xml:space="preserve">As operations head, </w:t>
      </w:r>
      <w:proofErr w:type="spellStart"/>
      <w:r w:rsidRPr="00167484">
        <w:rPr>
          <w:rFonts w:cs="Times New Roman"/>
          <w:sz w:val="18"/>
          <w:szCs w:val="18"/>
          <w:lang w:val="en-US"/>
        </w:rPr>
        <w:t>Ratnaparkhi</w:t>
      </w:r>
      <w:proofErr w:type="spellEnd"/>
      <w:r w:rsidRPr="00167484">
        <w:rPr>
          <w:rFonts w:cs="Times New Roman"/>
          <w:sz w:val="18"/>
          <w:szCs w:val="18"/>
          <w:lang w:val="en-US"/>
        </w:rPr>
        <w:t xml:space="preserve"> was asked by </w:t>
      </w:r>
      <w:proofErr w:type="spellStart"/>
      <w:r w:rsidRPr="00167484">
        <w:rPr>
          <w:rFonts w:cs="Times New Roman"/>
          <w:sz w:val="18"/>
          <w:szCs w:val="18"/>
          <w:lang w:val="en-US"/>
        </w:rPr>
        <w:t>Mittra</w:t>
      </w:r>
      <w:proofErr w:type="spellEnd"/>
      <w:r w:rsidRPr="00167484">
        <w:rPr>
          <w:rFonts w:cs="Times New Roman"/>
          <w:sz w:val="18"/>
          <w:szCs w:val="18"/>
          <w:lang w:val="en-US"/>
        </w:rPr>
        <w:t xml:space="preserve"> to have a closer look at the data report and to offer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his understanding and analysis of the issue within a fortnight, when the next order for the transformers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would have to be placed. The size and timing of the order was the bone of contention between various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functional departments. Refer to Exhibits 1 and 2 for the data summary.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  <w:lang w:val="en-US"/>
        </w:rPr>
      </w:pPr>
      <w:proofErr w:type="spellStart"/>
      <w:r w:rsidRPr="00167484">
        <w:rPr>
          <w:rFonts w:cs="Times New Roman"/>
          <w:sz w:val="18"/>
          <w:szCs w:val="18"/>
          <w:lang w:val="en-US"/>
        </w:rPr>
        <w:t>Mittra</w:t>
      </w:r>
      <w:proofErr w:type="spellEnd"/>
      <w:r w:rsidRPr="00167484">
        <w:rPr>
          <w:rFonts w:cs="Times New Roman"/>
          <w:sz w:val="18"/>
          <w:szCs w:val="18"/>
          <w:lang w:val="en-US"/>
        </w:rPr>
        <w:t xml:space="preserve"> also emphasized that </w:t>
      </w:r>
      <w:proofErr w:type="spellStart"/>
      <w:r w:rsidRPr="00167484">
        <w:rPr>
          <w:rFonts w:cs="Times New Roman"/>
          <w:sz w:val="18"/>
          <w:szCs w:val="18"/>
          <w:lang w:val="en-US"/>
        </w:rPr>
        <w:t>Ratnaparkhi’s</w:t>
      </w:r>
      <w:proofErr w:type="spellEnd"/>
      <w:r w:rsidRPr="00167484">
        <w:rPr>
          <w:rFonts w:cs="Times New Roman"/>
          <w:sz w:val="18"/>
          <w:szCs w:val="18"/>
          <w:lang w:val="en-US"/>
        </w:rPr>
        <w:t xml:space="preserve"> recommendations were to be very crystal clear and precis</w:t>
      </w:r>
      <w:r w:rsidRPr="00167484">
        <w:rPr>
          <w:rFonts w:cs="Times New Roman"/>
          <w:sz w:val="18"/>
          <w:szCs w:val="18"/>
          <w:lang w:val="en-US"/>
        </w:rPr>
        <w:t xml:space="preserve">e and </w:t>
      </w:r>
      <w:r w:rsidRPr="00167484">
        <w:rPr>
          <w:rFonts w:cs="Times New Roman"/>
          <w:sz w:val="18"/>
          <w:szCs w:val="18"/>
          <w:lang w:val="en-US"/>
        </w:rPr>
        <w:t>accompanied by justification for the decision taken. He said, “We should be able to plan our transformer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purchasing better. I would like you to not only understand, analyze and propose your projections but</w:t>
      </w:r>
      <w:r w:rsidRPr="00167484">
        <w:rPr>
          <w:rFonts w:cs="Times New Roman"/>
          <w:sz w:val="18"/>
          <w:szCs w:val="18"/>
          <w:lang w:val="en-US"/>
        </w:rPr>
        <w:t xml:space="preserve"> </w:t>
      </w:r>
      <w:r w:rsidRPr="00167484">
        <w:rPr>
          <w:rFonts w:cs="Times New Roman"/>
          <w:sz w:val="18"/>
          <w:szCs w:val="18"/>
          <w:lang w:val="en-US"/>
        </w:rPr>
        <w:t>would also like you to come up with a report that even a lower grade clerk in stores should be able to</w:t>
      </w:r>
      <w:r w:rsidRPr="00167484">
        <w:rPr>
          <w:rFonts w:cs="Times New Roman"/>
          <w:sz w:val="18"/>
          <w:szCs w:val="18"/>
          <w:lang w:val="en-US"/>
        </w:rPr>
        <w:t xml:space="preserve"> fathom and follow.”</w:t>
      </w:r>
    </w:p>
    <w:p w:rsidR="009875D9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167484" w:rsidRPr="00167484" w:rsidRDefault="00167484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18"/>
          <w:szCs w:val="18"/>
          <w:lang w:val="en-US"/>
        </w:rPr>
      </w:pPr>
      <w:r w:rsidRPr="00167484">
        <w:rPr>
          <w:rFonts w:cs="Arial,Bold"/>
          <w:b/>
          <w:bCs/>
          <w:sz w:val="18"/>
          <w:szCs w:val="18"/>
          <w:lang w:val="en-US"/>
        </w:rPr>
        <w:t>Assignment Questions</w:t>
      </w:r>
    </w:p>
    <w:p w:rsidR="00167484" w:rsidRDefault="00167484" w:rsidP="001674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  <w:r>
        <w:rPr>
          <w:rFonts w:cs="Arial,Bold"/>
          <w:bCs/>
          <w:sz w:val="18"/>
          <w:szCs w:val="18"/>
          <w:lang w:val="en-US"/>
        </w:rPr>
        <w:t>Using various methods and models available for forecasting, suggest a way forward for A-CAT.</w:t>
      </w:r>
    </w:p>
    <w:p w:rsidR="00167484" w:rsidRPr="00167484" w:rsidRDefault="00167484" w:rsidP="001674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  <w:r>
        <w:rPr>
          <w:rFonts w:cs="Arial,Bold"/>
          <w:bCs/>
          <w:sz w:val="18"/>
          <w:szCs w:val="18"/>
          <w:lang w:val="en-US"/>
        </w:rPr>
        <w:t>Which method is best suited and gives the best possible results? Why?</w:t>
      </w:r>
    </w:p>
    <w:p w:rsidR="00167484" w:rsidRDefault="00167484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167484" w:rsidRDefault="00167484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167484" w:rsidRDefault="00167484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167484" w:rsidRDefault="00167484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167484" w:rsidRDefault="00167484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167484" w:rsidRDefault="00167484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167484" w:rsidRDefault="00167484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167484" w:rsidRDefault="00167484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167484" w:rsidRDefault="00167484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167484" w:rsidRDefault="00167484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167484" w:rsidRDefault="00167484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167484" w:rsidRDefault="00167484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167484" w:rsidRPr="00167484" w:rsidRDefault="00167484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18"/>
          <w:szCs w:val="18"/>
          <w:lang w:val="en-US"/>
        </w:rPr>
      </w:pPr>
      <w:r w:rsidRPr="00167484">
        <w:rPr>
          <w:rFonts w:cs="Arial,Bold"/>
          <w:b/>
          <w:bCs/>
          <w:sz w:val="18"/>
          <w:szCs w:val="18"/>
          <w:lang w:val="en-US"/>
        </w:rPr>
        <w:lastRenderedPageBreak/>
        <w:t>EXHIBIT 1: TRANSFORMER REQUIREMENTS DURING THE PERIOD (TAKEN FROM THE SALES</w:t>
      </w:r>
      <w:r w:rsidRPr="00167484">
        <w:rPr>
          <w:rFonts w:cs="Arial,Bold"/>
          <w:b/>
          <w:bCs/>
          <w:sz w:val="18"/>
          <w:szCs w:val="18"/>
          <w:lang w:val="en-US"/>
        </w:rPr>
        <w:t xml:space="preserve"> </w:t>
      </w:r>
      <w:r w:rsidRPr="00167484">
        <w:rPr>
          <w:rFonts w:cs="Arial,Bold"/>
          <w:b/>
          <w:bCs/>
          <w:sz w:val="18"/>
          <w:szCs w:val="18"/>
          <w:lang w:val="en-US"/>
        </w:rPr>
        <w:t>OF VOLTAGE REGULATORS)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  <w:lang w:val="en-US"/>
        </w:rPr>
      </w:pPr>
    </w:p>
    <w:tbl>
      <w:tblPr>
        <w:tblW w:w="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020"/>
        <w:gridCol w:w="1020"/>
        <w:gridCol w:w="1020"/>
        <w:gridCol w:w="1020"/>
        <w:gridCol w:w="1020"/>
      </w:tblGrid>
      <w:tr w:rsidR="009875D9" w:rsidRPr="009875D9" w:rsidTr="009875D9">
        <w:trPr>
          <w:trHeight w:val="285"/>
        </w:trPr>
        <w:tc>
          <w:tcPr>
            <w:tcW w:w="1114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val="en-US" w:eastAsia="el-GR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2010</w:t>
            </w:r>
          </w:p>
        </w:tc>
      </w:tr>
      <w:tr w:rsidR="009875D9" w:rsidRPr="009875D9" w:rsidTr="009875D9">
        <w:trPr>
          <w:trHeight w:val="285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  <w:t>January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779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845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857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887</w:t>
            </w:r>
          </w:p>
        </w:tc>
      </w:tr>
      <w:tr w:rsidR="009875D9" w:rsidRPr="009875D9" w:rsidTr="009875D9">
        <w:trPr>
          <w:trHeight w:val="285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  <w:t>February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739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881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956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892</w:t>
            </w:r>
          </w:p>
        </w:tc>
      </w:tr>
      <w:tr w:rsidR="009875D9" w:rsidRPr="009875D9" w:rsidTr="009875D9">
        <w:trPr>
          <w:trHeight w:val="285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  <w:t>March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818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871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937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1001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997</w:t>
            </w:r>
          </w:p>
        </w:tc>
      </w:tr>
      <w:tr w:rsidR="009875D9" w:rsidRPr="009875D9" w:rsidTr="009875D9">
        <w:trPr>
          <w:trHeight w:val="285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  <w:t>April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888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927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1159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1142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1118</w:t>
            </w:r>
          </w:p>
        </w:tc>
      </w:tr>
      <w:tr w:rsidR="009875D9" w:rsidRPr="009875D9" w:rsidTr="009875D9">
        <w:trPr>
          <w:trHeight w:val="285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  <w:t>May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898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1133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1072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1276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1197</w:t>
            </w:r>
          </w:p>
        </w:tc>
      </w:tr>
      <w:tr w:rsidR="009875D9" w:rsidRPr="009875D9" w:rsidTr="009875D9">
        <w:trPr>
          <w:trHeight w:val="285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  <w:t>June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902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1124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1246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1356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1256</w:t>
            </w:r>
          </w:p>
        </w:tc>
      </w:tr>
      <w:tr w:rsidR="009875D9" w:rsidRPr="009875D9" w:rsidTr="009875D9">
        <w:trPr>
          <w:trHeight w:val="285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  <w:t>July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1056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1198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1288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1202</w:t>
            </w:r>
          </w:p>
        </w:tc>
      </w:tr>
      <w:tr w:rsidR="009875D9" w:rsidRPr="009875D9" w:rsidTr="009875D9">
        <w:trPr>
          <w:trHeight w:val="285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August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708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889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922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1082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1170</w:t>
            </w:r>
          </w:p>
        </w:tc>
      </w:tr>
      <w:tr w:rsidR="009875D9" w:rsidRPr="009875D9" w:rsidTr="009875D9">
        <w:trPr>
          <w:trHeight w:val="285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September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695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857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798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877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982</w:t>
            </w:r>
          </w:p>
        </w:tc>
      </w:tr>
      <w:tr w:rsidR="009875D9" w:rsidRPr="009875D9" w:rsidTr="009875D9">
        <w:trPr>
          <w:trHeight w:val="285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October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708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772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879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1009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1297</w:t>
            </w:r>
          </w:p>
        </w:tc>
      </w:tr>
      <w:tr w:rsidR="009875D9" w:rsidRPr="009875D9" w:rsidTr="009875D9">
        <w:trPr>
          <w:trHeight w:val="285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November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716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751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945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1100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1163</w:t>
            </w:r>
          </w:p>
        </w:tc>
      </w:tr>
      <w:tr w:rsidR="009875D9" w:rsidRPr="009875D9" w:rsidTr="009875D9">
        <w:trPr>
          <w:trHeight w:val="285"/>
        </w:trPr>
        <w:tc>
          <w:tcPr>
            <w:tcW w:w="1114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val="en-US" w:eastAsia="el-GR"/>
              </w:rPr>
              <w:t>December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784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990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998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1053</w:t>
            </w:r>
          </w:p>
        </w:tc>
      </w:tr>
    </w:tbl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  <w:lang w:val="en-US"/>
        </w:rPr>
      </w:pPr>
      <w:r w:rsidRPr="00167484">
        <w:rPr>
          <w:rFonts w:cs="Arial"/>
          <w:i/>
          <w:iCs/>
          <w:sz w:val="18"/>
          <w:szCs w:val="18"/>
          <w:lang w:val="en-US"/>
        </w:rPr>
        <w:t>Source: Company files.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/>
          <w:bCs/>
          <w:sz w:val="18"/>
          <w:szCs w:val="18"/>
          <w:lang w:val="en-US"/>
        </w:rPr>
      </w:pPr>
      <w:r w:rsidRPr="00167484">
        <w:rPr>
          <w:rFonts w:cs="Arial,Bold"/>
          <w:b/>
          <w:bCs/>
          <w:sz w:val="18"/>
          <w:szCs w:val="18"/>
          <w:lang w:val="en-US"/>
        </w:rPr>
        <w:t>EXHIBIT 2: SALES FIGURES OF REFRIGERATORS DURING THE PERIOD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,Bold"/>
          <w:bCs/>
          <w:sz w:val="18"/>
          <w:szCs w:val="18"/>
          <w:lang w:val="en-US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9875D9" w:rsidRPr="009875D9" w:rsidTr="009875D9">
        <w:trPr>
          <w:trHeight w:val="28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Arial"/>
                <w:color w:val="000000"/>
                <w:sz w:val="18"/>
                <w:szCs w:val="18"/>
                <w:lang w:val="en-US" w:eastAsia="el-GR"/>
              </w:rPr>
              <w:t>Quarter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2006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2007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2008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2009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2010</w:t>
            </w:r>
          </w:p>
        </w:tc>
      </w:tr>
      <w:tr w:rsidR="009875D9" w:rsidRPr="009875D9" w:rsidTr="009875D9">
        <w:trPr>
          <w:trHeight w:val="28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Arial"/>
                <w:color w:val="000000"/>
                <w:sz w:val="18"/>
                <w:szCs w:val="18"/>
                <w:lang w:val="en-US" w:eastAsia="el-GR"/>
              </w:rPr>
              <w:t>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3832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4007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4826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5411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6290</w:t>
            </w:r>
          </w:p>
        </w:tc>
      </w:tr>
      <w:tr w:rsidR="009875D9" w:rsidRPr="009875D9" w:rsidTr="009875D9">
        <w:trPr>
          <w:trHeight w:val="28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Arial"/>
                <w:color w:val="000000"/>
                <w:sz w:val="18"/>
                <w:szCs w:val="18"/>
                <w:lang w:val="en-US" w:eastAsia="el-GR"/>
              </w:rPr>
              <w:t>II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5032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5903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6492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7678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8332</w:t>
            </w:r>
          </w:p>
        </w:tc>
      </w:tr>
      <w:tr w:rsidR="009875D9" w:rsidRPr="009875D9" w:rsidTr="009875D9">
        <w:trPr>
          <w:trHeight w:val="28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Arial"/>
                <w:color w:val="000000"/>
                <w:sz w:val="18"/>
                <w:szCs w:val="18"/>
                <w:lang w:val="en-US" w:eastAsia="el-GR"/>
              </w:rPr>
              <w:t>III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3947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4274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4765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5774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6107</w:t>
            </w:r>
          </w:p>
        </w:tc>
      </w:tr>
      <w:tr w:rsidR="009875D9" w:rsidRPr="009875D9" w:rsidTr="009875D9">
        <w:trPr>
          <w:trHeight w:val="285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Arial"/>
                <w:color w:val="000000"/>
                <w:sz w:val="18"/>
                <w:szCs w:val="18"/>
                <w:lang w:val="en-US" w:eastAsia="el-GR"/>
              </w:rPr>
              <w:t>IV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3291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3692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4972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6007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875D9" w:rsidRPr="009875D9" w:rsidRDefault="009875D9" w:rsidP="0016748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</w:pPr>
            <w:r w:rsidRPr="009875D9">
              <w:rPr>
                <w:rFonts w:eastAsia="Times New Roman" w:cs="Times New Roman"/>
                <w:color w:val="000000"/>
                <w:sz w:val="18"/>
                <w:szCs w:val="18"/>
                <w:lang w:eastAsia="el-GR"/>
              </w:rPr>
              <w:t>6729</w:t>
            </w:r>
          </w:p>
        </w:tc>
      </w:tr>
    </w:tbl>
    <w:p w:rsidR="002A719C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  <w:lang w:val="en-US"/>
        </w:rPr>
      </w:pPr>
      <w:r w:rsidRPr="00167484">
        <w:rPr>
          <w:rFonts w:cs="Arial"/>
          <w:i/>
          <w:iCs/>
          <w:sz w:val="18"/>
          <w:szCs w:val="18"/>
          <w:lang w:val="en-US"/>
        </w:rPr>
        <w:t>Source: Company files.</w:t>
      </w: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  <w:lang w:val="en-US"/>
        </w:rPr>
      </w:pPr>
    </w:p>
    <w:p w:rsidR="009875D9" w:rsidRPr="00167484" w:rsidRDefault="009875D9" w:rsidP="0016748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n-US"/>
        </w:rPr>
      </w:pPr>
    </w:p>
    <w:sectPr w:rsidR="009875D9" w:rsidRPr="001674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5419F"/>
    <w:multiLevelType w:val="hybridMultilevel"/>
    <w:tmpl w:val="2326D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14"/>
    <w:rsid w:val="00167484"/>
    <w:rsid w:val="002A719C"/>
    <w:rsid w:val="003E5714"/>
    <w:rsid w:val="006712D6"/>
    <w:rsid w:val="007772D5"/>
    <w:rsid w:val="009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75884-99DC-46C6-BF67-FB10BA6F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5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veyca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1475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Repoussis</dc:creator>
  <cp:keywords/>
  <dc:description/>
  <cp:lastModifiedBy>Panagiotis Repoussis</cp:lastModifiedBy>
  <cp:revision>3</cp:revision>
  <dcterms:created xsi:type="dcterms:W3CDTF">2016-02-03T20:30:00Z</dcterms:created>
  <dcterms:modified xsi:type="dcterms:W3CDTF">2016-02-03T20:52:00Z</dcterms:modified>
</cp:coreProperties>
</file>